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C9" w:rsidRPr="006A5EC1" w:rsidRDefault="002B25B0" w:rsidP="00B81968">
      <w:pPr>
        <w:spacing w:before="120"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="00AC03C9" w:rsidRPr="006A5EC1">
        <w:rPr>
          <w:rFonts w:ascii="Arial" w:hAnsi="Arial" w:cs="Arial"/>
          <w:sz w:val="36"/>
          <w:szCs w:val="36"/>
        </w:rPr>
        <w:t xml:space="preserve">er zähe Saft des </w:t>
      </w:r>
      <w:r w:rsidR="00C073D4">
        <w:rPr>
          <w:rFonts w:ascii="Arial" w:hAnsi="Arial" w:cs="Arial"/>
          <w:sz w:val="36"/>
          <w:szCs w:val="36"/>
        </w:rPr>
        <w:t xml:space="preserve">alten </w:t>
      </w:r>
      <w:r w:rsidR="00AC03C9" w:rsidRPr="006A5EC1">
        <w:rPr>
          <w:rFonts w:ascii="Arial" w:hAnsi="Arial" w:cs="Arial"/>
          <w:sz w:val="36"/>
          <w:szCs w:val="36"/>
        </w:rPr>
        <w:t>Lebens</w:t>
      </w:r>
    </w:p>
    <w:p w:rsidR="00AC03C9" w:rsidRPr="00312E1C" w:rsidRDefault="00F31DA5" w:rsidP="00B81968">
      <w:pPr>
        <w:spacing w:before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 Gruppenbild der </w:t>
      </w:r>
      <w:r w:rsidR="002B25B0">
        <w:rPr>
          <w:rFonts w:ascii="Arial" w:hAnsi="Arial" w:cs="Arial"/>
          <w:sz w:val="28"/>
          <w:szCs w:val="28"/>
        </w:rPr>
        <w:t xml:space="preserve">Bolschewiki als </w:t>
      </w:r>
      <w:r>
        <w:rPr>
          <w:rFonts w:ascii="Arial" w:hAnsi="Arial" w:cs="Arial"/>
          <w:sz w:val="28"/>
          <w:szCs w:val="28"/>
        </w:rPr>
        <w:t xml:space="preserve">apokalyptischer </w:t>
      </w:r>
      <w:r w:rsidR="002B25B0">
        <w:rPr>
          <w:rFonts w:ascii="Arial" w:hAnsi="Arial" w:cs="Arial"/>
          <w:sz w:val="28"/>
          <w:szCs w:val="28"/>
        </w:rPr>
        <w:t xml:space="preserve">Sekte </w:t>
      </w:r>
    </w:p>
    <w:p w:rsidR="006A5EC1" w:rsidRDefault="006A5EC1" w:rsidP="00B81968">
      <w:pPr>
        <w:spacing w:before="120" w:line="360" w:lineRule="auto"/>
        <w:rPr>
          <w:rFonts w:ascii="Arial" w:hAnsi="Arial" w:cs="Arial"/>
        </w:rPr>
      </w:pPr>
    </w:p>
    <w:p w:rsidR="00AC03C9" w:rsidRDefault="006A5EC1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Gerd Koenen</w:t>
      </w:r>
    </w:p>
    <w:p w:rsidR="006A5EC1" w:rsidRDefault="006A5EC1" w:rsidP="00B81968">
      <w:pPr>
        <w:spacing w:before="120" w:line="360" w:lineRule="auto"/>
        <w:rPr>
          <w:rFonts w:ascii="Arial" w:hAnsi="Arial" w:cs="Arial"/>
        </w:rPr>
      </w:pPr>
    </w:p>
    <w:p w:rsidR="00AC03C9" w:rsidRDefault="00AC03C9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="002B25B0">
        <w:rPr>
          <w:rFonts w:ascii="Arial" w:hAnsi="Arial" w:cs="Arial"/>
        </w:rPr>
        <w:t xml:space="preserve">monumentales </w:t>
      </w:r>
      <w:r w:rsidR="00312E1C">
        <w:rPr>
          <w:rFonts w:ascii="Arial" w:hAnsi="Arial" w:cs="Arial"/>
        </w:rPr>
        <w:t xml:space="preserve">Buch – in der Fülle seiner Geschichten, in der Weite seines erzählerischen Atems und in der Höhe seines historiographischen Anspruchs. </w:t>
      </w:r>
      <w:r w:rsidR="002B25B0">
        <w:rPr>
          <w:rFonts w:ascii="Arial" w:hAnsi="Arial" w:cs="Arial"/>
        </w:rPr>
        <w:t xml:space="preserve">Der in der Sowjetunion geborene, in </w:t>
      </w:r>
      <w:r w:rsidR="00BC3AD9">
        <w:rPr>
          <w:rFonts w:ascii="Arial" w:hAnsi="Arial" w:cs="Arial"/>
        </w:rPr>
        <w:t xml:space="preserve">Kalifornien </w:t>
      </w:r>
      <w:r w:rsidR="002B25B0">
        <w:rPr>
          <w:rFonts w:ascii="Arial" w:hAnsi="Arial" w:cs="Arial"/>
        </w:rPr>
        <w:t xml:space="preserve">lehrende </w:t>
      </w:r>
      <w:r w:rsidR="00BC3AD9">
        <w:rPr>
          <w:rFonts w:ascii="Arial" w:hAnsi="Arial" w:cs="Arial"/>
        </w:rPr>
        <w:t xml:space="preserve">Ethnologe und </w:t>
      </w:r>
      <w:r w:rsidR="00F31DA5">
        <w:rPr>
          <w:rFonts w:ascii="Arial" w:hAnsi="Arial" w:cs="Arial"/>
        </w:rPr>
        <w:t>H</w:t>
      </w:r>
      <w:r w:rsidR="002B25B0">
        <w:rPr>
          <w:rFonts w:ascii="Arial" w:hAnsi="Arial" w:cs="Arial"/>
        </w:rPr>
        <w:t xml:space="preserve">istoriker </w:t>
      </w:r>
      <w:r w:rsidR="00312E1C">
        <w:rPr>
          <w:rFonts w:ascii="Arial" w:hAnsi="Arial" w:cs="Arial"/>
        </w:rPr>
        <w:t xml:space="preserve">Yuri Slezkine macht sich </w:t>
      </w:r>
      <w:r w:rsidR="002B25B0">
        <w:rPr>
          <w:rFonts w:ascii="Arial" w:hAnsi="Arial" w:cs="Arial"/>
        </w:rPr>
        <w:t xml:space="preserve">in seinem hoch gelobten, </w:t>
      </w:r>
      <w:r w:rsidR="00D97DF7">
        <w:rPr>
          <w:rFonts w:ascii="Arial" w:hAnsi="Arial" w:cs="Arial"/>
        </w:rPr>
        <w:t xml:space="preserve">nun auch auf Deutsch erschienenen </w:t>
      </w:r>
      <w:r w:rsidR="002B25B0">
        <w:rPr>
          <w:rFonts w:ascii="Arial" w:hAnsi="Arial" w:cs="Arial"/>
        </w:rPr>
        <w:t>Werk an</w:t>
      </w:r>
      <w:r w:rsidR="00312E1C">
        <w:rPr>
          <w:rFonts w:ascii="Arial" w:hAnsi="Arial" w:cs="Arial"/>
        </w:rPr>
        <w:t xml:space="preserve">heischig, den meteorhaften Aufstieg und das abrupte Verglühen des Weltkommunismus, jedenfalls in seiner </w:t>
      </w:r>
      <w:r w:rsidR="002B25B0">
        <w:rPr>
          <w:rFonts w:ascii="Arial" w:hAnsi="Arial" w:cs="Arial"/>
        </w:rPr>
        <w:t>ursprünglichen Gestalt,</w:t>
      </w:r>
      <w:r w:rsidR="00312E1C">
        <w:rPr>
          <w:rFonts w:ascii="Arial" w:hAnsi="Arial" w:cs="Arial"/>
        </w:rPr>
        <w:t xml:space="preserve"> dem Bolschewismus,</w:t>
      </w:r>
      <w:r w:rsidR="006A5EC1">
        <w:rPr>
          <w:rFonts w:ascii="Arial" w:hAnsi="Arial" w:cs="Arial"/>
        </w:rPr>
        <w:t xml:space="preserve"> in eine </w:t>
      </w:r>
      <w:r w:rsidR="00D97DF7">
        <w:rPr>
          <w:rFonts w:ascii="Arial" w:hAnsi="Arial" w:cs="Arial"/>
        </w:rPr>
        <w:t xml:space="preserve">weit verzweigte und letztlich doch </w:t>
      </w:r>
      <w:r w:rsidR="006A5EC1">
        <w:rPr>
          <w:rFonts w:ascii="Arial" w:hAnsi="Arial" w:cs="Arial"/>
        </w:rPr>
        <w:t>gesch</w:t>
      </w:r>
      <w:r w:rsidR="00D97DF7">
        <w:rPr>
          <w:rFonts w:ascii="Arial" w:hAnsi="Arial" w:cs="Arial"/>
        </w:rPr>
        <w:t>lossene epische Erzählung zu bringen</w:t>
      </w:r>
      <w:r w:rsidR="006A5EC1">
        <w:rPr>
          <w:rFonts w:ascii="Arial" w:hAnsi="Arial" w:cs="Arial"/>
        </w:rPr>
        <w:t>.</w:t>
      </w:r>
    </w:p>
    <w:p w:rsidR="00CC3AE1" w:rsidRDefault="00662EA9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Slezkine </w:t>
      </w:r>
      <w:r w:rsidR="00647489">
        <w:rPr>
          <w:rFonts w:ascii="Arial" w:hAnsi="Arial" w:cs="Arial"/>
        </w:rPr>
        <w:t xml:space="preserve">nennt </w:t>
      </w:r>
      <w:r w:rsidR="00C5201A">
        <w:rPr>
          <w:rFonts w:ascii="Arial" w:hAnsi="Arial" w:cs="Arial"/>
        </w:rPr>
        <w:t xml:space="preserve">sein Buch </w:t>
      </w:r>
      <w:r w:rsidR="00647489">
        <w:rPr>
          <w:rFonts w:ascii="Arial" w:hAnsi="Arial" w:cs="Arial"/>
        </w:rPr>
        <w:t xml:space="preserve">eine „Saga“, und das ist </w:t>
      </w:r>
      <w:r w:rsidR="00C5201A">
        <w:rPr>
          <w:rFonts w:ascii="Arial" w:hAnsi="Arial" w:cs="Arial"/>
        </w:rPr>
        <w:t>es</w:t>
      </w:r>
      <w:r w:rsidR="00F31DA5">
        <w:rPr>
          <w:rFonts w:ascii="Arial" w:hAnsi="Arial" w:cs="Arial"/>
        </w:rPr>
        <w:t xml:space="preserve"> tatsächlich</w:t>
      </w:r>
      <w:r w:rsidR="00BC3AD9">
        <w:rPr>
          <w:rFonts w:ascii="Arial" w:hAnsi="Arial" w:cs="Arial"/>
        </w:rPr>
        <w:t>:</w:t>
      </w:r>
      <w:r w:rsidR="00331A7F">
        <w:rPr>
          <w:rFonts w:ascii="Arial" w:hAnsi="Arial" w:cs="Arial"/>
        </w:rPr>
        <w:t xml:space="preserve"> e</w:t>
      </w:r>
      <w:r w:rsidR="00D97DF7">
        <w:rPr>
          <w:rFonts w:ascii="Arial" w:hAnsi="Arial" w:cs="Arial"/>
        </w:rPr>
        <w:t xml:space="preserve">ine </w:t>
      </w:r>
      <w:r w:rsidR="00E017F2">
        <w:rPr>
          <w:rFonts w:ascii="Arial" w:hAnsi="Arial" w:cs="Arial"/>
        </w:rPr>
        <w:t xml:space="preserve">intim </w:t>
      </w:r>
      <w:r w:rsidR="00D97DF7">
        <w:rPr>
          <w:rFonts w:ascii="Arial" w:hAnsi="Arial" w:cs="Arial"/>
        </w:rPr>
        <w:t xml:space="preserve">verwobene, </w:t>
      </w:r>
      <w:r w:rsidR="00C5201A">
        <w:rPr>
          <w:rFonts w:ascii="Arial" w:hAnsi="Arial" w:cs="Arial"/>
        </w:rPr>
        <w:t xml:space="preserve">am Ende </w:t>
      </w:r>
      <w:r w:rsidR="00D97DF7">
        <w:rPr>
          <w:rFonts w:ascii="Arial" w:hAnsi="Arial" w:cs="Arial"/>
        </w:rPr>
        <w:t xml:space="preserve">tödlich verstrickte Familiengeschichte </w:t>
      </w:r>
      <w:r w:rsidR="00C5201A">
        <w:rPr>
          <w:rFonts w:ascii="Arial" w:hAnsi="Arial" w:cs="Arial"/>
        </w:rPr>
        <w:t xml:space="preserve">der </w:t>
      </w:r>
      <w:r w:rsidR="009B0741">
        <w:rPr>
          <w:rFonts w:ascii="Arial" w:hAnsi="Arial" w:cs="Arial"/>
        </w:rPr>
        <w:t>mit dem Oktobercoup 1917</w:t>
      </w:r>
      <w:r w:rsidR="00E017F2">
        <w:rPr>
          <w:rFonts w:ascii="Arial" w:hAnsi="Arial" w:cs="Arial"/>
        </w:rPr>
        <w:t xml:space="preserve"> </w:t>
      </w:r>
      <w:r w:rsidR="00C5201A">
        <w:rPr>
          <w:rFonts w:ascii="Arial" w:hAnsi="Arial" w:cs="Arial"/>
        </w:rPr>
        <w:t xml:space="preserve">und im anschließenden Bürgerkrieg </w:t>
      </w:r>
      <w:r>
        <w:rPr>
          <w:rFonts w:ascii="Arial" w:hAnsi="Arial" w:cs="Arial"/>
        </w:rPr>
        <w:t>zur Macht gekommenen</w:t>
      </w:r>
      <w:r w:rsidR="00D97DF7">
        <w:rPr>
          <w:rFonts w:ascii="Arial" w:hAnsi="Arial" w:cs="Arial"/>
        </w:rPr>
        <w:t xml:space="preserve"> </w:t>
      </w:r>
      <w:r w:rsidR="00F31DA5">
        <w:rPr>
          <w:rFonts w:ascii="Arial" w:hAnsi="Arial" w:cs="Arial"/>
        </w:rPr>
        <w:t>Gründungsk</w:t>
      </w:r>
      <w:r w:rsidR="00D97DF7">
        <w:rPr>
          <w:rFonts w:ascii="Arial" w:hAnsi="Arial" w:cs="Arial"/>
        </w:rPr>
        <w:t>ohorte</w:t>
      </w:r>
      <w:r>
        <w:rPr>
          <w:rFonts w:ascii="Arial" w:hAnsi="Arial" w:cs="Arial"/>
        </w:rPr>
        <w:t xml:space="preserve"> </w:t>
      </w:r>
      <w:r w:rsidR="00C5201A">
        <w:rPr>
          <w:rFonts w:ascii="Arial" w:hAnsi="Arial" w:cs="Arial"/>
        </w:rPr>
        <w:t>bolschewistischer Berufsrevolutionäre</w:t>
      </w:r>
      <w:r w:rsidR="00CC7B7D">
        <w:rPr>
          <w:rFonts w:ascii="Arial" w:hAnsi="Arial" w:cs="Arial"/>
        </w:rPr>
        <w:t>.</w:t>
      </w:r>
      <w:r w:rsidR="00C5201A">
        <w:rPr>
          <w:rFonts w:ascii="Arial" w:hAnsi="Arial" w:cs="Arial"/>
        </w:rPr>
        <w:t xml:space="preserve"> </w:t>
      </w:r>
      <w:r w:rsidR="00BC3AD9">
        <w:rPr>
          <w:rFonts w:ascii="Arial" w:hAnsi="Arial" w:cs="Arial"/>
        </w:rPr>
        <w:t>M</w:t>
      </w:r>
      <w:r w:rsidR="00BC3AD9">
        <w:rPr>
          <w:rFonts w:ascii="Arial" w:hAnsi="Arial" w:cs="Arial"/>
        </w:rPr>
        <w:t xml:space="preserve">it kunstvoller Lakonie und großteils aus Quellen erster Hand </w:t>
      </w:r>
      <w:r w:rsidR="00BC3AD9">
        <w:rPr>
          <w:rFonts w:ascii="Arial" w:hAnsi="Arial" w:cs="Arial"/>
        </w:rPr>
        <w:t xml:space="preserve">entfaltet der Autor ein Panorama </w:t>
      </w:r>
      <w:r w:rsidR="00A51516">
        <w:rPr>
          <w:rFonts w:ascii="Arial" w:hAnsi="Arial" w:cs="Arial"/>
        </w:rPr>
        <w:t xml:space="preserve">vielfach </w:t>
      </w:r>
      <w:r w:rsidR="00BC3AD9">
        <w:rPr>
          <w:rFonts w:ascii="Arial" w:hAnsi="Arial" w:cs="Arial"/>
        </w:rPr>
        <w:t xml:space="preserve">begabter, alles andere als primitiver, </w:t>
      </w:r>
      <w:r w:rsidR="008C69D1">
        <w:rPr>
          <w:rFonts w:ascii="Arial" w:hAnsi="Arial" w:cs="Arial"/>
        </w:rPr>
        <w:t xml:space="preserve">von Gedanken und Leidenschaften getriebener und zerrissener Männer (großteils Männer), die sich im Zuge der Revolution eine moralische Drachenhaut überziehen, in der sie am Ende ersticken oder verkümmern. </w:t>
      </w:r>
      <w:r>
        <w:rPr>
          <w:rFonts w:ascii="Arial" w:hAnsi="Arial" w:cs="Arial"/>
        </w:rPr>
        <w:t xml:space="preserve">Tatsächlich </w:t>
      </w:r>
      <w:r w:rsidR="00647489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man </w:t>
      </w:r>
      <w:r w:rsidR="00647489">
        <w:rPr>
          <w:rFonts w:ascii="Arial" w:hAnsi="Arial" w:cs="Arial"/>
        </w:rPr>
        <w:t xml:space="preserve">in der </w:t>
      </w:r>
      <w:r w:rsidR="009B0741">
        <w:rPr>
          <w:rFonts w:ascii="Arial" w:hAnsi="Arial" w:cs="Arial"/>
        </w:rPr>
        <w:t xml:space="preserve">gesamten </w:t>
      </w:r>
      <w:r w:rsidR="00647489">
        <w:rPr>
          <w:rFonts w:ascii="Arial" w:hAnsi="Arial" w:cs="Arial"/>
        </w:rPr>
        <w:t xml:space="preserve">Geschichte des 20. Jahrhunderts </w:t>
      </w:r>
      <w:r w:rsidR="00E017F2">
        <w:rPr>
          <w:rFonts w:ascii="Arial" w:hAnsi="Arial" w:cs="Arial"/>
        </w:rPr>
        <w:t xml:space="preserve">kaum </w:t>
      </w:r>
      <w:r w:rsidR="008C69D1">
        <w:rPr>
          <w:rFonts w:ascii="Arial" w:hAnsi="Arial" w:cs="Arial"/>
        </w:rPr>
        <w:t>etwas f</w:t>
      </w:r>
      <w:r w:rsidR="00647489">
        <w:rPr>
          <w:rFonts w:ascii="Arial" w:hAnsi="Arial" w:cs="Arial"/>
        </w:rPr>
        <w:t xml:space="preserve">inden, </w:t>
      </w:r>
      <w:r w:rsidR="008C69D1">
        <w:rPr>
          <w:rFonts w:ascii="Arial" w:hAnsi="Arial" w:cs="Arial"/>
        </w:rPr>
        <w:t xml:space="preserve">das </w:t>
      </w:r>
      <w:r w:rsidR="00647489">
        <w:rPr>
          <w:rFonts w:ascii="Arial" w:hAnsi="Arial" w:cs="Arial"/>
        </w:rPr>
        <w:t>dem Begriff einer Tragödie so nahekommt</w:t>
      </w:r>
      <w:r w:rsidR="00C5201A">
        <w:rPr>
          <w:rFonts w:ascii="Arial" w:hAnsi="Arial" w:cs="Arial"/>
        </w:rPr>
        <w:t xml:space="preserve"> wie die </w:t>
      </w:r>
      <w:r w:rsidR="008C69D1">
        <w:rPr>
          <w:rFonts w:ascii="Arial" w:hAnsi="Arial" w:cs="Arial"/>
        </w:rPr>
        <w:t xml:space="preserve">Schicksale </w:t>
      </w:r>
      <w:r w:rsidR="00C5201A">
        <w:rPr>
          <w:rFonts w:ascii="Arial" w:hAnsi="Arial" w:cs="Arial"/>
        </w:rPr>
        <w:t xml:space="preserve">dieser </w:t>
      </w:r>
      <w:r w:rsidR="008C69D1">
        <w:rPr>
          <w:rFonts w:ascii="Arial" w:hAnsi="Arial" w:cs="Arial"/>
        </w:rPr>
        <w:t>„Altbolschewiken“</w:t>
      </w:r>
      <w:r w:rsidR="008F57FC">
        <w:rPr>
          <w:rFonts w:ascii="Arial" w:hAnsi="Arial" w:cs="Arial"/>
        </w:rPr>
        <w:t xml:space="preserve">. </w:t>
      </w:r>
      <w:r w:rsidR="00C5201A">
        <w:rPr>
          <w:rFonts w:ascii="Arial" w:hAnsi="Arial" w:cs="Arial"/>
        </w:rPr>
        <w:t>S</w:t>
      </w:r>
      <w:r w:rsidR="008F57FC">
        <w:rPr>
          <w:rFonts w:ascii="Arial" w:hAnsi="Arial" w:cs="Arial"/>
        </w:rPr>
        <w:t xml:space="preserve">elbst Shakespeares Königsdramen wirken </w:t>
      </w:r>
      <w:r w:rsidR="009B0741">
        <w:rPr>
          <w:rFonts w:ascii="Arial" w:hAnsi="Arial" w:cs="Arial"/>
        </w:rPr>
        <w:t xml:space="preserve">wie Kammerspiele </w:t>
      </w:r>
      <w:r w:rsidR="008F57FC">
        <w:rPr>
          <w:rFonts w:ascii="Arial" w:hAnsi="Arial" w:cs="Arial"/>
        </w:rPr>
        <w:t xml:space="preserve">im Verhältnis zu </w:t>
      </w:r>
      <w:r w:rsidR="009B0741">
        <w:rPr>
          <w:rFonts w:ascii="Arial" w:hAnsi="Arial" w:cs="Arial"/>
        </w:rPr>
        <w:t>dem</w:t>
      </w:r>
      <w:r w:rsidR="004F61ED">
        <w:rPr>
          <w:rFonts w:ascii="Arial" w:hAnsi="Arial" w:cs="Arial"/>
        </w:rPr>
        <w:t xml:space="preserve"> </w:t>
      </w:r>
      <w:r w:rsidR="00CC3AE1">
        <w:rPr>
          <w:rFonts w:ascii="Arial" w:hAnsi="Arial" w:cs="Arial"/>
        </w:rPr>
        <w:t xml:space="preserve">unbegreiflichen </w:t>
      </w:r>
      <w:r w:rsidR="004F61ED">
        <w:rPr>
          <w:rFonts w:ascii="Arial" w:hAnsi="Arial" w:cs="Arial"/>
        </w:rPr>
        <w:t>Geschehen, das</w:t>
      </w:r>
      <w:r w:rsidR="009B0741">
        <w:rPr>
          <w:rFonts w:ascii="Arial" w:hAnsi="Arial" w:cs="Arial"/>
        </w:rPr>
        <w:t xml:space="preserve"> in den Jahren </w:t>
      </w:r>
      <w:r w:rsidR="008F57FC">
        <w:rPr>
          <w:rFonts w:ascii="Arial" w:hAnsi="Arial" w:cs="Arial"/>
        </w:rPr>
        <w:t>des Großen Terrors</w:t>
      </w:r>
      <w:r w:rsidR="008C69D1">
        <w:rPr>
          <w:rFonts w:ascii="Arial" w:hAnsi="Arial" w:cs="Arial"/>
        </w:rPr>
        <w:t xml:space="preserve"> zwischen 1936 und 1939 </w:t>
      </w:r>
      <w:r w:rsidR="009B0741">
        <w:rPr>
          <w:rFonts w:ascii="Arial" w:hAnsi="Arial" w:cs="Arial"/>
        </w:rPr>
        <w:t xml:space="preserve"> </w:t>
      </w:r>
      <w:r w:rsidR="00CC3AE1">
        <w:rPr>
          <w:rFonts w:ascii="Arial" w:hAnsi="Arial" w:cs="Arial"/>
        </w:rPr>
        <w:t xml:space="preserve">wie in einem Malstrom </w:t>
      </w:r>
      <w:r w:rsidR="009B0741">
        <w:rPr>
          <w:rFonts w:ascii="Arial" w:hAnsi="Arial" w:cs="Arial"/>
        </w:rPr>
        <w:t xml:space="preserve">rings um den Moskauer Kreml </w:t>
      </w:r>
      <w:r w:rsidR="008C69D1">
        <w:rPr>
          <w:rFonts w:ascii="Arial" w:hAnsi="Arial" w:cs="Arial"/>
        </w:rPr>
        <w:t xml:space="preserve">zahllose </w:t>
      </w:r>
      <w:r w:rsidR="00090B99">
        <w:rPr>
          <w:rFonts w:ascii="Arial" w:hAnsi="Arial" w:cs="Arial"/>
        </w:rPr>
        <w:t xml:space="preserve">Leben und Existenzen </w:t>
      </w:r>
      <w:r w:rsidR="00DA6756">
        <w:rPr>
          <w:rFonts w:ascii="Arial" w:hAnsi="Arial" w:cs="Arial"/>
        </w:rPr>
        <w:t>verschlungen hat</w:t>
      </w:r>
      <w:r w:rsidR="004F61ED">
        <w:rPr>
          <w:rFonts w:ascii="Arial" w:hAnsi="Arial" w:cs="Arial"/>
        </w:rPr>
        <w:t>,</w:t>
      </w:r>
      <w:r w:rsidR="00090B99">
        <w:rPr>
          <w:rFonts w:ascii="Arial" w:hAnsi="Arial" w:cs="Arial"/>
        </w:rPr>
        <w:t xml:space="preserve"> </w:t>
      </w:r>
      <w:r w:rsidR="001B3557">
        <w:rPr>
          <w:rFonts w:ascii="Arial" w:hAnsi="Arial" w:cs="Arial"/>
        </w:rPr>
        <w:t xml:space="preserve">und </w:t>
      </w:r>
      <w:r w:rsidR="00090B99">
        <w:rPr>
          <w:rFonts w:ascii="Arial" w:hAnsi="Arial" w:cs="Arial"/>
        </w:rPr>
        <w:t xml:space="preserve">je näher </w:t>
      </w:r>
      <w:r w:rsidR="00C5201A">
        <w:rPr>
          <w:rFonts w:ascii="Arial" w:hAnsi="Arial" w:cs="Arial"/>
        </w:rPr>
        <w:t xml:space="preserve">sie dem </w:t>
      </w:r>
      <w:r w:rsidR="00497981">
        <w:rPr>
          <w:rFonts w:ascii="Arial" w:hAnsi="Arial" w:cs="Arial"/>
        </w:rPr>
        <w:t xml:space="preserve">von Stalin markierten </w:t>
      </w:r>
      <w:r w:rsidR="00090B99">
        <w:rPr>
          <w:rFonts w:ascii="Arial" w:hAnsi="Arial" w:cs="Arial"/>
        </w:rPr>
        <w:t>Zentrum der</w:t>
      </w:r>
      <w:r w:rsidR="00C5201A">
        <w:rPr>
          <w:rFonts w:ascii="Arial" w:hAnsi="Arial" w:cs="Arial"/>
        </w:rPr>
        <w:t xml:space="preserve"> Macht </w:t>
      </w:r>
      <w:r w:rsidR="00497981">
        <w:rPr>
          <w:rFonts w:ascii="Arial" w:hAnsi="Arial" w:cs="Arial"/>
        </w:rPr>
        <w:t xml:space="preserve"> </w:t>
      </w:r>
      <w:r w:rsidR="00C5201A">
        <w:rPr>
          <w:rFonts w:ascii="Arial" w:hAnsi="Arial" w:cs="Arial"/>
        </w:rPr>
        <w:t>standen</w:t>
      </w:r>
      <w:r w:rsidR="00090B99">
        <w:rPr>
          <w:rFonts w:ascii="Arial" w:hAnsi="Arial" w:cs="Arial"/>
        </w:rPr>
        <w:t xml:space="preserve">, umso </w:t>
      </w:r>
      <w:r w:rsidR="00C5201A">
        <w:rPr>
          <w:rFonts w:ascii="Arial" w:hAnsi="Arial" w:cs="Arial"/>
        </w:rPr>
        <w:t xml:space="preserve">rascher </w:t>
      </w:r>
      <w:r w:rsidR="00090B99">
        <w:rPr>
          <w:rFonts w:ascii="Arial" w:hAnsi="Arial" w:cs="Arial"/>
        </w:rPr>
        <w:t>und radikaler</w:t>
      </w:r>
      <w:r w:rsidR="004F61ED">
        <w:rPr>
          <w:rFonts w:ascii="Arial" w:hAnsi="Arial" w:cs="Arial"/>
        </w:rPr>
        <w:t>.</w:t>
      </w:r>
      <w:r w:rsidR="00090B99">
        <w:rPr>
          <w:rFonts w:ascii="Arial" w:hAnsi="Arial" w:cs="Arial"/>
        </w:rPr>
        <w:t xml:space="preserve"> </w:t>
      </w:r>
    </w:p>
    <w:p w:rsidR="00E017F2" w:rsidRDefault="00C5201A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31A7F">
        <w:rPr>
          <w:rFonts w:ascii="Arial" w:hAnsi="Arial" w:cs="Arial"/>
        </w:rPr>
        <w:t xml:space="preserve">iesem dunklen </w:t>
      </w:r>
      <w:r w:rsidR="00090B99">
        <w:rPr>
          <w:rFonts w:ascii="Arial" w:hAnsi="Arial" w:cs="Arial"/>
        </w:rPr>
        <w:t xml:space="preserve">Kern der </w:t>
      </w:r>
      <w:r>
        <w:rPr>
          <w:rFonts w:ascii="Arial" w:hAnsi="Arial" w:cs="Arial"/>
        </w:rPr>
        <w:t xml:space="preserve">sowjetischen </w:t>
      </w:r>
      <w:r w:rsidR="001B3557">
        <w:rPr>
          <w:rFonts w:ascii="Arial" w:hAnsi="Arial" w:cs="Arial"/>
        </w:rPr>
        <w:t xml:space="preserve">Historie </w:t>
      </w:r>
      <w:r>
        <w:rPr>
          <w:rFonts w:ascii="Arial" w:hAnsi="Arial" w:cs="Arial"/>
        </w:rPr>
        <w:t xml:space="preserve">nähert Slezkines Buch sich </w:t>
      </w:r>
      <w:r w:rsidR="00E03FCC">
        <w:rPr>
          <w:rFonts w:ascii="Arial" w:hAnsi="Arial" w:cs="Arial"/>
        </w:rPr>
        <w:t xml:space="preserve">durch einen </w:t>
      </w:r>
      <w:r w:rsidR="00497981">
        <w:rPr>
          <w:rFonts w:ascii="Arial" w:hAnsi="Arial" w:cs="Arial"/>
        </w:rPr>
        <w:t xml:space="preserve">zweifachen </w:t>
      </w:r>
      <w:r w:rsidR="00F31DA5">
        <w:rPr>
          <w:rFonts w:ascii="Arial" w:hAnsi="Arial" w:cs="Arial"/>
        </w:rPr>
        <w:t>Kunstgriff.</w:t>
      </w:r>
      <w:r w:rsidR="00E03FCC">
        <w:rPr>
          <w:rFonts w:ascii="Arial" w:hAnsi="Arial" w:cs="Arial"/>
        </w:rPr>
        <w:t xml:space="preserve"> Der erste </w:t>
      </w:r>
      <w:r w:rsidR="00497981">
        <w:rPr>
          <w:rFonts w:ascii="Arial" w:hAnsi="Arial" w:cs="Arial"/>
        </w:rPr>
        <w:t xml:space="preserve">und wichtigste </w:t>
      </w:r>
      <w:r w:rsidR="00E03FCC">
        <w:rPr>
          <w:rFonts w:ascii="Arial" w:hAnsi="Arial" w:cs="Arial"/>
        </w:rPr>
        <w:t xml:space="preserve">besteht darin, die Erzählung um einen zentralen „Topos“ </w:t>
      </w:r>
      <w:r w:rsidR="002072D5">
        <w:rPr>
          <w:rFonts w:ascii="Arial" w:hAnsi="Arial" w:cs="Arial"/>
        </w:rPr>
        <w:t>zu gruppieren</w:t>
      </w:r>
      <w:r w:rsidR="009950F6">
        <w:rPr>
          <w:rFonts w:ascii="Arial" w:hAnsi="Arial" w:cs="Arial"/>
        </w:rPr>
        <w:t>:</w:t>
      </w:r>
      <w:r w:rsidR="002072D5">
        <w:rPr>
          <w:rFonts w:ascii="Arial" w:hAnsi="Arial" w:cs="Arial"/>
        </w:rPr>
        <w:t xml:space="preserve"> jenes 1930/31 in Stoßarbeit errichteten </w:t>
      </w:r>
      <w:r w:rsidR="001B3557">
        <w:rPr>
          <w:rFonts w:ascii="Arial" w:hAnsi="Arial" w:cs="Arial"/>
        </w:rPr>
        <w:t xml:space="preserve">„Haus der Regierung“ </w:t>
      </w:r>
      <w:r w:rsidR="002072D5">
        <w:rPr>
          <w:rFonts w:ascii="Arial" w:hAnsi="Arial" w:cs="Arial"/>
        </w:rPr>
        <w:t xml:space="preserve">am Ufer der Moskwa, schräg gegenüber </w:t>
      </w:r>
      <w:r w:rsidR="001B3557">
        <w:rPr>
          <w:rFonts w:ascii="Arial" w:hAnsi="Arial" w:cs="Arial"/>
        </w:rPr>
        <w:t xml:space="preserve">dem </w:t>
      </w:r>
      <w:r w:rsidR="002072D5">
        <w:rPr>
          <w:rFonts w:ascii="Arial" w:hAnsi="Arial" w:cs="Arial"/>
        </w:rPr>
        <w:t xml:space="preserve">Kreml, in dem ein </w:t>
      </w:r>
      <w:r w:rsidR="002072D5">
        <w:rPr>
          <w:rFonts w:ascii="Arial" w:hAnsi="Arial" w:cs="Arial"/>
        </w:rPr>
        <w:lastRenderedPageBreak/>
        <w:t xml:space="preserve">großer Teil der </w:t>
      </w:r>
      <w:r w:rsidR="00F31DA5">
        <w:rPr>
          <w:rFonts w:ascii="Arial" w:hAnsi="Arial" w:cs="Arial"/>
        </w:rPr>
        <w:t xml:space="preserve">engeren </w:t>
      </w:r>
      <w:r w:rsidR="002072D5">
        <w:rPr>
          <w:rFonts w:ascii="Arial" w:hAnsi="Arial" w:cs="Arial"/>
        </w:rPr>
        <w:t xml:space="preserve">sowjetischen Machtelite mit ihren Familien untergebracht wurde. </w:t>
      </w:r>
      <w:r w:rsidR="001B3557">
        <w:rPr>
          <w:rFonts w:ascii="Arial" w:hAnsi="Arial" w:cs="Arial"/>
        </w:rPr>
        <w:t xml:space="preserve">Dieser Komplex </w:t>
      </w:r>
      <w:r w:rsidR="002072D5">
        <w:rPr>
          <w:rFonts w:ascii="Arial" w:hAnsi="Arial" w:cs="Arial"/>
        </w:rPr>
        <w:t xml:space="preserve">kombinierte 550 unterschiedlich große, </w:t>
      </w:r>
      <w:r w:rsidR="001B3557">
        <w:rPr>
          <w:rFonts w:ascii="Arial" w:hAnsi="Arial" w:cs="Arial"/>
        </w:rPr>
        <w:t xml:space="preserve">mit </w:t>
      </w:r>
      <w:r w:rsidR="002072D5">
        <w:rPr>
          <w:rFonts w:ascii="Arial" w:hAnsi="Arial" w:cs="Arial"/>
        </w:rPr>
        <w:t>modern</w:t>
      </w:r>
      <w:r w:rsidR="001B3557">
        <w:rPr>
          <w:rFonts w:ascii="Arial" w:hAnsi="Arial" w:cs="Arial"/>
        </w:rPr>
        <w:t>em Komfort</w:t>
      </w:r>
      <w:r w:rsidR="002072D5">
        <w:rPr>
          <w:rFonts w:ascii="Arial" w:hAnsi="Arial" w:cs="Arial"/>
        </w:rPr>
        <w:t xml:space="preserve"> ausgestattete Wohnungen mit </w:t>
      </w:r>
      <w:r w:rsidR="001B3557">
        <w:rPr>
          <w:rFonts w:ascii="Arial" w:hAnsi="Arial" w:cs="Arial"/>
        </w:rPr>
        <w:t xml:space="preserve">allen </w:t>
      </w:r>
      <w:r w:rsidR="00F31DA5">
        <w:rPr>
          <w:rFonts w:ascii="Arial" w:hAnsi="Arial" w:cs="Arial"/>
        </w:rPr>
        <w:t xml:space="preserve">möglichen </w:t>
      </w:r>
      <w:r w:rsidR="002072D5">
        <w:rPr>
          <w:rFonts w:ascii="Arial" w:hAnsi="Arial" w:cs="Arial"/>
        </w:rPr>
        <w:t>Gemeinschaftseinrichtungen (</w:t>
      </w:r>
      <w:r w:rsidR="00F31DA5">
        <w:rPr>
          <w:rFonts w:ascii="Arial" w:hAnsi="Arial" w:cs="Arial"/>
        </w:rPr>
        <w:t xml:space="preserve">wie </w:t>
      </w:r>
      <w:r w:rsidR="00DA6756">
        <w:rPr>
          <w:rFonts w:ascii="Arial" w:hAnsi="Arial" w:cs="Arial"/>
        </w:rPr>
        <w:t xml:space="preserve">Kantine, Ambulanz, </w:t>
      </w:r>
      <w:r w:rsidR="002072D5">
        <w:rPr>
          <w:rFonts w:ascii="Arial" w:hAnsi="Arial" w:cs="Arial"/>
        </w:rPr>
        <w:t>Post- und Telegrafenamt</w:t>
      </w:r>
      <w:r w:rsidR="00DA6756">
        <w:rPr>
          <w:rFonts w:ascii="Arial" w:hAnsi="Arial" w:cs="Arial"/>
        </w:rPr>
        <w:t>, Kinderhort, Friseursalon</w:t>
      </w:r>
      <w:r w:rsidR="002072D5">
        <w:rPr>
          <w:rFonts w:ascii="Arial" w:hAnsi="Arial" w:cs="Arial"/>
        </w:rPr>
        <w:t xml:space="preserve"> usw.) sowie </w:t>
      </w:r>
      <w:r w:rsidR="001B3557">
        <w:rPr>
          <w:rFonts w:ascii="Arial" w:hAnsi="Arial" w:cs="Arial"/>
        </w:rPr>
        <w:t xml:space="preserve">mit </w:t>
      </w:r>
      <w:r w:rsidR="002072D5">
        <w:rPr>
          <w:rFonts w:ascii="Arial" w:hAnsi="Arial" w:cs="Arial"/>
        </w:rPr>
        <w:t xml:space="preserve">Bildungs- und Vergnügungsstätten, darunter </w:t>
      </w:r>
      <w:r w:rsidR="00497981">
        <w:rPr>
          <w:rFonts w:ascii="Arial" w:hAnsi="Arial" w:cs="Arial"/>
        </w:rPr>
        <w:t xml:space="preserve">einer Bibliothek, </w:t>
      </w:r>
      <w:r w:rsidR="002072D5">
        <w:rPr>
          <w:rFonts w:ascii="Arial" w:hAnsi="Arial" w:cs="Arial"/>
        </w:rPr>
        <w:t xml:space="preserve">einem </w:t>
      </w:r>
      <w:r w:rsidR="00DA6756">
        <w:rPr>
          <w:rFonts w:ascii="Arial" w:hAnsi="Arial" w:cs="Arial"/>
        </w:rPr>
        <w:t>Theater</w:t>
      </w:r>
      <w:r w:rsidR="002072D5">
        <w:rPr>
          <w:rFonts w:ascii="Arial" w:hAnsi="Arial" w:cs="Arial"/>
        </w:rPr>
        <w:t xml:space="preserve"> und </w:t>
      </w:r>
      <w:r w:rsidR="00DA6756">
        <w:rPr>
          <w:rFonts w:ascii="Arial" w:hAnsi="Arial" w:cs="Arial"/>
        </w:rPr>
        <w:t xml:space="preserve">einem </w:t>
      </w:r>
      <w:r w:rsidR="009950F6">
        <w:rPr>
          <w:rFonts w:ascii="Arial" w:hAnsi="Arial" w:cs="Arial"/>
        </w:rPr>
        <w:t xml:space="preserve">Kinosaal für 1500 Zuschauer. </w:t>
      </w:r>
      <w:r w:rsidR="001B3557">
        <w:rPr>
          <w:rFonts w:ascii="Arial" w:hAnsi="Arial" w:cs="Arial"/>
        </w:rPr>
        <w:t>Es war eine nach außen abgeschlossene „</w:t>
      </w:r>
      <w:r w:rsidR="009950F6">
        <w:rPr>
          <w:rFonts w:ascii="Arial" w:hAnsi="Arial" w:cs="Arial"/>
        </w:rPr>
        <w:t>Stadt in der Stadt</w:t>
      </w:r>
      <w:r w:rsidR="001B3557">
        <w:rPr>
          <w:rFonts w:ascii="Arial" w:hAnsi="Arial" w:cs="Arial"/>
        </w:rPr>
        <w:t>“</w:t>
      </w:r>
      <w:r w:rsidR="009950F6">
        <w:rPr>
          <w:rFonts w:ascii="Arial" w:hAnsi="Arial" w:cs="Arial"/>
        </w:rPr>
        <w:t xml:space="preserve">, die eine </w:t>
      </w:r>
      <w:r w:rsidR="00497981">
        <w:rPr>
          <w:rFonts w:ascii="Arial" w:hAnsi="Arial" w:cs="Arial"/>
        </w:rPr>
        <w:t xml:space="preserve">avancierte </w:t>
      </w:r>
      <w:r w:rsidR="00A723E6">
        <w:rPr>
          <w:rFonts w:ascii="Arial" w:hAnsi="Arial" w:cs="Arial"/>
        </w:rPr>
        <w:t>„kommunistische“ Lebensform mit einem individ</w:t>
      </w:r>
      <w:r w:rsidR="00DA6756">
        <w:rPr>
          <w:rFonts w:ascii="Arial" w:hAnsi="Arial" w:cs="Arial"/>
        </w:rPr>
        <w:t xml:space="preserve">uellen Familienleben </w:t>
      </w:r>
      <w:r w:rsidR="00F31DA5">
        <w:rPr>
          <w:rFonts w:ascii="Arial" w:hAnsi="Arial" w:cs="Arial"/>
        </w:rPr>
        <w:t xml:space="preserve">verbinden </w:t>
      </w:r>
      <w:r w:rsidR="00DA6756">
        <w:rPr>
          <w:rFonts w:ascii="Arial" w:hAnsi="Arial" w:cs="Arial"/>
        </w:rPr>
        <w:t>sollte</w:t>
      </w:r>
      <w:r w:rsidR="00A723E6">
        <w:rPr>
          <w:rFonts w:ascii="Arial" w:hAnsi="Arial" w:cs="Arial"/>
        </w:rPr>
        <w:t xml:space="preserve"> – und </w:t>
      </w:r>
      <w:r w:rsidR="00DA6756">
        <w:rPr>
          <w:rFonts w:ascii="Arial" w:hAnsi="Arial" w:cs="Arial"/>
        </w:rPr>
        <w:t xml:space="preserve">beides </w:t>
      </w:r>
      <w:r w:rsidR="00497981">
        <w:rPr>
          <w:rFonts w:ascii="Arial" w:hAnsi="Arial" w:cs="Arial"/>
        </w:rPr>
        <w:t>nie wirklich zusammenbrachte.</w:t>
      </w:r>
    </w:p>
    <w:p w:rsidR="00A723E6" w:rsidRDefault="00A723E6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Dieser Stoff ist </w:t>
      </w:r>
      <w:r w:rsidR="001B3557">
        <w:rPr>
          <w:rFonts w:ascii="Arial" w:hAnsi="Arial" w:cs="Arial"/>
        </w:rPr>
        <w:t xml:space="preserve">an sich </w:t>
      </w:r>
      <w:r>
        <w:rPr>
          <w:rFonts w:ascii="Arial" w:hAnsi="Arial" w:cs="Arial"/>
        </w:rPr>
        <w:t>nicht</w:t>
      </w:r>
      <w:r w:rsidR="00D032E5">
        <w:rPr>
          <w:rFonts w:ascii="Arial" w:hAnsi="Arial" w:cs="Arial"/>
        </w:rPr>
        <w:t xml:space="preserve"> unbekannt</w:t>
      </w:r>
      <w:r>
        <w:rPr>
          <w:rFonts w:ascii="Arial" w:hAnsi="Arial" w:cs="Arial"/>
        </w:rPr>
        <w:t xml:space="preserve">. Das „Haus an der Moskwa“ </w:t>
      </w:r>
      <w:r w:rsidR="003975B4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in der späten Sowjetzeit Titel und Hintergrund für </w:t>
      </w:r>
      <w:r w:rsidR="003975B4">
        <w:rPr>
          <w:rFonts w:ascii="Arial" w:hAnsi="Arial" w:cs="Arial"/>
        </w:rPr>
        <w:t xml:space="preserve">einen berühmten </w:t>
      </w:r>
      <w:r>
        <w:rPr>
          <w:rFonts w:ascii="Arial" w:hAnsi="Arial" w:cs="Arial"/>
        </w:rPr>
        <w:t xml:space="preserve">Roman </w:t>
      </w:r>
      <w:r w:rsidR="00331A7F">
        <w:rPr>
          <w:rFonts w:ascii="Arial" w:hAnsi="Arial" w:cs="Arial"/>
        </w:rPr>
        <w:t xml:space="preserve">von </w:t>
      </w:r>
      <w:r>
        <w:rPr>
          <w:rFonts w:ascii="Arial" w:hAnsi="Arial" w:cs="Arial"/>
        </w:rPr>
        <w:t>Juri Trifonow</w:t>
      </w:r>
      <w:r w:rsidR="003975B4">
        <w:rPr>
          <w:rFonts w:ascii="Arial" w:hAnsi="Arial" w:cs="Arial"/>
        </w:rPr>
        <w:t xml:space="preserve"> geliefert</w:t>
      </w:r>
      <w:r>
        <w:rPr>
          <w:rFonts w:ascii="Arial" w:hAnsi="Arial" w:cs="Arial"/>
        </w:rPr>
        <w:t xml:space="preserve">, </w:t>
      </w:r>
      <w:r w:rsidR="003975B4">
        <w:rPr>
          <w:rFonts w:ascii="Arial" w:hAnsi="Arial" w:cs="Arial"/>
        </w:rPr>
        <w:t xml:space="preserve">der </w:t>
      </w:r>
      <w:r w:rsidR="00185F90">
        <w:rPr>
          <w:rFonts w:ascii="Arial" w:hAnsi="Arial" w:cs="Arial"/>
        </w:rPr>
        <w:t>selbst ein</w:t>
      </w:r>
      <w:r>
        <w:rPr>
          <w:rFonts w:ascii="Arial" w:hAnsi="Arial" w:cs="Arial"/>
        </w:rPr>
        <w:t>s der vielen, in diesem Haus aufgewachsenen Kinder</w:t>
      </w:r>
      <w:r w:rsidR="003975B4">
        <w:rPr>
          <w:rFonts w:ascii="Arial" w:hAnsi="Arial" w:cs="Arial"/>
        </w:rPr>
        <w:t xml:space="preserve"> war</w:t>
      </w:r>
      <w:r>
        <w:rPr>
          <w:rFonts w:ascii="Arial" w:hAnsi="Arial" w:cs="Arial"/>
        </w:rPr>
        <w:t xml:space="preserve">, deren Eltern im Malstrom der Säuberungen verschwanden. </w:t>
      </w:r>
      <w:r w:rsidR="003975B4">
        <w:rPr>
          <w:rFonts w:ascii="Arial" w:hAnsi="Arial" w:cs="Arial"/>
        </w:rPr>
        <w:t xml:space="preserve">Und </w:t>
      </w:r>
      <w:r w:rsidR="00185F90">
        <w:rPr>
          <w:rFonts w:ascii="Arial" w:hAnsi="Arial" w:cs="Arial"/>
        </w:rPr>
        <w:t xml:space="preserve">eine Reihe </w:t>
      </w:r>
      <w:r w:rsidR="00331A7F">
        <w:rPr>
          <w:rFonts w:ascii="Arial" w:hAnsi="Arial" w:cs="Arial"/>
        </w:rPr>
        <w:t>wissenschaftliche</w:t>
      </w:r>
      <w:r w:rsidR="00185F90">
        <w:rPr>
          <w:rFonts w:ascii="Arial" w:hAnsi="Arial" w:cs="Arial"/>
        </w:rPr>
        <w:t>r</w:t>
      </w:r>
      <w:r w:rsidR="00331A7F">
        <w:rPr>
          <w:rFonts w:ascii="Arial" w:hAnsi="Arial" w:cs="Arial"/>
        </w:rPr>
        <w:t xml:space="preserve"> und publizistische</w:t>
      </w:r>
      <w:r w:rsidR="00185F90">
        <w:rPr>
          <w:rFonts w:ascii="Arial" w:hAnsi="Arial" w:cs="Arial"/>
        </w:rPr>
        <w:t>r</w:t>
      </w:r>
      <w:r w:rsidR="003975B4">
        <w:rPr>
          <w:rFonts w:ascii="Arial" w:hAnsi="Arial" w:cs="Arial"/>
        </w:rPr>
        <w:t xml:space="preserve"> Arbeiten sind </w:t>
      </w:r>
      <w:r w:rsidR="00185F90">
        <w:rPr>
          <w:rFonts w:ascii="Arial" w:hAnsi="Arial" w:cs="Arial"/>
        </w:rPr>
        <w:t xml:space="preserve">im Laufe der Jahre </w:t>
      </w:r>
      <w:r w:rsidR="003975B4">
        <w:rPr>
          <w:rFonts w:ascii="Arial" w:hAnsi="Arial" w:cs="Arial"/>
        </w:rPr>
        <w:t xml:space="preserve">über diesen </w:t>
      </w:r>
      <w:r w:rsidR="00185F90">
        <w:rPr>
          <w:rFonts w:ascii="Arial" w:hAnsi="Arial" w:cs="Arial"/>
        </w:rPr>
        <w:t xml:space="preserve">berühmten </w:t>
      </w:r>
      <w:r w:rsidR="00331A7F">
        <w:rPr>
          <w:rFonts w:ascii="Arial" w:hAnsi="Arial" w:cs="Arial"/>
        </w:rPr>
        <w:t xml:space="preserve">Wohnkomplex, seine Architektur und </w:t>
      </w:r>
      <w:r w:rsidR="003975B4">
        <w:rPr>
          <w:rFonts w:ascii="Arial" w:hAnsi="Arial" w:cs="Arial"/>
        </w:rPr>
        <w:t>seine Bewohner verfasst worden.</w:t>
      </w:r>
      <w:r w:rsidR="00497981">
        <w:rPr>
          <w:rFonts w:ascii="Arial" w:hAnsi="Arial" w:cs="Arial"/>
        </w:rPr>
        <w:t xml:space="preserve"> </w:t>
      </w:r>
    </w:p>
    <w:p w:rsidR="003975B4" w:rsidRDefault="003975B4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Aber Slezkine hat </w:t>
      </w:r>
      <w:r w:rsidR="00185F90">
        <w:rPr>
          <w:rFonts w:ascii="Arial" w:hAnsi="Arial" w:cs="Arial"/>
        </w:rPr>
        <w:t xml:space="preserve">dieses Material </w:t>
      </w:r>
      <w:r w:rsidR="00964547">
        <w:rPr>
          <w:rFonts w:ascii="Arial" w:hAnsi="Arial" w:cs="Arial"/>
        </w:rPr>
        <w:t>in einer völlig neuen Weise aufgenommen</w:t>
      </w:r>
      <w:r w:rsidR="00185F90">
        <w:rPr>
          <w:rFonts w:ascii="Arial" w:hAnsi="Arial" w:cs="Arial"/>
        </w:rPr>
        <w:t xml:space="preserve"> und arrangiert</w:t>
      </w:r>
      <w:r w:rsidR="00964547">
        <w:rPr>
          <w:rFonts w:ascii="Arial" w:hAnsi="Arial" w:cs="Arial"/>
        </w:rPr>
        <w:t xml:space="preserve">. </w:t>
      </w:r>
      <w:r w:rsidR="00127303">
        <w:rPr>
          <w:rFonts w:ascii="Arial" w:hAnsi="Arial" w:cs="Arial"/>
        </w:rPr>
        <w:t xml:space="preserve">Das „große Haus“ </w:t>
      </w:r>
      <w:r w:rsidR="00964547">
        <w:rPr>
          <w:rFonts w:ascii="Arial" w:hAnsi="Arial" w:cs="Arial"/>
        </w:rPr>
        <w:t xml:space="preserve">dient ihm als </w:t>
      </w:r>
      <w:r w:rsidR="00D032E5">
        <w:rPr>
          <w:rFonts w:ascii="Arial" w:hAnsi="Arial" w:cs="Arial"/>
        </w:rPr>
        <w:t xml:space="preserve">ein </w:t>
      </w:r>
      <w:r w:rsidR="00964547">
        <w:rPr>
          <w:rFonts w:ascii="Arial" w:hAnsi="Arial" w:cs="Arial"/>
        </w:rPr>
        <w:t xml:space="preserve">Prisma, </w:t>
      </w:r>
      <w:r w:rsidR="001B3557">
        <w:rPr>
          <w:rFonts w:ascii="Arial" w:hAnsi="Arial" w:cs="Arial"/>
        </w:rPr>
        <w:t xml:space="preserve">worin </w:t>
      </w:r>
      <w:r w:rsidR="00964547">
        <w:rPr>
          <w:rFonts w:ascii="Arial" w:hAnsi="Arial" w:cs="Arial"/>
        </w:rPr>
        <w:t>Dutzend</w:t>
      </w:r>
      <w:r w:rsidR="00331A7F">
        <w:rPr>
          <w:rFonts w:ascii="Arial" w:hAnsi="Arial" w:cs="Arial"/>
        </w:rPr>
        <w:t>e</w:t>
      </w:r>
      <w:r w:rsidR="00964547">
        <w:rPr>
          <w:rFonts w:ascii="Arial" w:hAnsi="Arial" w:cs="Arial"/>
        </w:rPr>
        <w:t xml:space="preserve"> </w:t>
      </w:r>
      <w:r w:rsidR="001B3557">
        <w:rPr>
          <w:rFonts w:ascii="Arial" w:hAnsi="Arial" w:cs="Arial"/>
        </w:rPr>
        <w:t xml:space="preserve">Lebensläufe </w:t>
      </w:r>
      <w:r w:rsidR="00964547">
        <w:rPr>
          <w:rFonts w:ascii="Arial" w:hAnsi="Arial" w:cs="Arial"/>
        </w:rPr>
        <w:t xml:space="preserve">sich </w:t>
      </w:r>
      <w:r w:rsidR="00185F90">
        <w:rPr>
          <w:rFonts w:ascii="Arial" w:hAnsi="Arial" w:cs="Arial"/>
        </w:rPr>
        <w:t>in all ihren Verschlingungen und Facetten</w:t>
      </w:r>
      <w:r w:rsidR="00964547">
        <w:rPr>
          <w:rFonts w:ascii="Arial" w:hAnsi="Arial" w:cs="Arial"/>
        </w:rPr>
        <w:t xml:space="preserve"> beleuchten lassen, bis sich so etwas wie ein Charakterbild der frühen bolschewistischen Machtkohorte herauskristallisiert</w:t>
      </w:r>
      <w:r w:rsidR="00A51516">
        <w:rPr>
          <w:rFonts w:ascii="Arial" w:hAnsi="Arial" w:cs="Arial"/>
        </w:rPr>
        <w:t xml:space="preserve">. Er lässt seine </w:t>
      </w:r>
      <w:r w:rsidR="00500F79">
        <w:rPr>
          <w:rFonts w:ascii="Arial" w:hAnsi="Arial" w:cs="Arial"/>
        </w:rPr>
        <w:t xml:space="preserve">„Helden“ </w:t>
      </w:r>
      <w:r w:rsidR="00127303">
        <w:rPr>
          <w:rFonts w:ascii="Arial" w:hAnsi="Arial" w:cs="Arial"/>
        </w:rPr>
        <w:t xml:space="preserve">wie in einem Reigen auftreten, verschwinden und wiederkehren – bis der Malstrom sie, einen nach dem andern, verschluckt, und ihre nächsten Angehörigen oft </w:t>
      </w:r>
      <w:r w:rsidR="00A51516">
        <w:rPr>
          <w:rFonts w:ascii="Arial" w:hAnsi="Arial" w:cs="Arial"/>
        </w:rPr>
        <w:t xml:space="preserve">mit qualvoller Verzögerung </w:t>
      </w:r>
      <w:r w:rsidR="00127303">
        <w:rPr>
          <w:rFonts w:ascii="Arial" w:hAnsi="Arial" w:cs="Arial"/>
        </w:rPr>
        <w:t xml:space="preserve">auch. </w:t>
      </w:r>
      <w:r w:rsidR="00500F79">
        <w:rPr>
          <w:rFonts w:ascii="Arial" w:hAnsi="Arial" w:cs="Arial"/>
        </w:rPr>
        <w:t xml:space="preserve">Für diese, alle menschlichen Maßstäbe sprengenden Lebensdramen </w:t>
      </w:r>
      <w:r w:rsidR="00964547">
        <w:rPr>
          <w:rFonts w:ascii="Arial" w:hAnsi="Arial" w:cs="Arial"/>
        </w:rPr>
        <w:t xml:space="preserve">hat </w:t>
      </w:r>
      <w:r w:rsidR="00D302BD">
        <w:rPr>
          <w:rFonts w:ascii="Arial" w:hAnsi="Arial" w:cs="Arial"/>
        </w:rPr>
        <w:t xml:space="preserve">er auf </w:t>
      </w:r>
      <w:r w:rsidR="00A51516">
        <w:rPr>
          <w:rFonts w:ascii="Arial" w:hAnsi="Arial" w:cs="Arial"/>
        </w:rPr>
        <w:t xml:space="preserve">einen großen Fundus </w:t>
      </w:r>
      <w:r w:rsidR="00ED6B05">
        <w:rPr>
          <w:rFonts w:ascii="Arial" w:hAnsi="Arial" w:cs="Arial"/>
        </w:rPr>
        <w:t>veröffentlichter oder unveröffentlichter, zeitgenössischer oder posthumer</w:t>
      </w:r>
      <w:r w:rsidR="00185F90">
        <w:rPr>
          <w:rFonts w:ascii="Arial" w:hAnsi="Arial" w:cs="Arial"/>
        </w:rPr>
        <w:t xml:space="preserve"> Erinnerungen</w:t>
      </w:r>
      <w:r w:rsidR="00A51516">
        <w:rPr>
          <w:rFonts w:ascii="Arial" w:hAnsi="Arial" w:cs="Arial"/>
        </w:rPr>
        <w:t xml:space="preserve">, Briefe, Tagebücher, Skizzen usw. </w:t>
      </w:r>
      <w:r w:rsidR="00D302BD">
        <w:rPr>
          <w:rFonts w:ascii="Arial" w:hAnsi="Arial" w:cs="Arial"/>
        </w:rPr>
        <w:t xml:space="preserve">zurückgreifen </w:t>
      </w:r>
      <w:r w:rsidR="00A51516">
        <w:rPr>
          <w:rFonts w:ascii="Arial" w:hAnsi="Arial" w:cs="Arial"/>
        </w:rPr>
        <w:t xml:space="preserve">können, </w:t>
      </w:r>
      <w:r w:rsidR="00ED6B05">
        <w:rPr>
          <w:rFonts w:ascii="Arial" w:hAnsi="Arial" w:cs="Arial"/>
        </w:rPr>
        <w:t xml:space="preserve">und nicht zuletzt </w:t>
      </w:r>
      <w:r w:rsidR="00D302BD">
        <w:rPr>
          <w:rFonts w:ascii="Arial" w:hAnsi="Arial" w:cs="Arial"/>
        </w:rPr>
        <w:t xml:space="preserve">auf </w:t>
      </w:r>
      <w:r w:rsidR="00ED6B05">
        <w:rPr>
          <w:rFonts w:ascii="Arial" w:hAnsi="Arial" w:cs="Arial"/>
        </w:rPr>
        <w:t xml:space="preserve">eine Fülle von Fotos </w:t>
      </w:r>
      <w:r w:rsidR="00964547">
        <w:rPr>
          <w:rFonts w:ascii="Arial" w:hAnsi="Arial" w:cs="Arial"/>
        </w:rPr>
        <w:t>der</w:t>
      </w:r>
      <w:r w:rsidR="00127303">
        <w:rPr>
          <w:rFonts w:ascii="Arial" w:hAnsi="Arial" w:cs="Arial"/>
        </w:rPr>
        <w:t xml:space="preserve"> </w:t>
      </w:r>
      <w:r w:rsidR="00ED6B05">
        <w:rPr>
          <w:rFonts w:ascii="Arial" w:hAnsi="Arial" w:cs="Arial"/>
        </w:rPr>
        <w:t>Hauptfiguren</w:t>
      </w:r>
      <w:r w:rsidR="00A51516">
        <w:rPr>
          <w:rFonts w:ascii="Arial" w:hAnsi="Arial" w:cs="Arial"/>
        </w:rPr>
        <w:t xml:space="preserve"> mitsamt </w:t>
      </w:r>
      <w:r w:rsidR="00964547">
        <w:rPr>
          <w:rFonts w:ascii="Arial" w:hAnsi="Arial" w:cs="Arial"/>
        </w:rPr>
        <w:t>ihrer Frauen</w:t>
      </w:r>
      <w:r w:rsidR="00185F90">
        <w:rPr>
          <w:rFonts w:ascii="Arial" w:hAnsi="Arial" w:cs="Arial"/>
        </w:rPr>
        <w:t xml:space="preserve"> und Geliebten</w:t>
      </w:r>
      <w:r w:rsidR="00964547">
        <w:rPr>
          <w:rFonts w:ascii="Arial" w:hAnsi="Arial" w:cs="Arial"/>
        </w:rPr>
        <w:t>, Kinder und Angehörigen</w:t>
      </w:r>
      <w:r w:rsidR="00AB3D47">
        <w:rPr>
          <w:rFonts w:ascii="Arial" w:hAnsi="Arial" w:cs="Arial"/>
        </w:rPr>
        <w:t>, die diese „Saga“ zu einem echten, Jahrzehnte umfassenden Famil</w:t>
      </w:r>
      <w:r w:rsidR="00A51516">
        <w:rPr>
          <w:rFonts w:ascii="Arial" w:hAnsi="Arial" w:cs="Arial"/>
        </w:rPr>
        <w:t xml:space="preserve">ienalbum machen. </w:t>
      </w:r>
    </w:p>
    <w:p w:rsidR="00D302BD" w:rsidRDefault="00D302BD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Gleichzeitig liefert </w:t>
      </w:r>
      <w:r w:rsidR="00500F79">
        <w:rPr>
          <w:rFonts w:ascii="Arial" w:hAnsi="Arial" w:cs="Arial"/>
        </w:rPr>
        <w:t xml:space="preserve">sein Buch </w:t>
      </w:r>
      <w:r>
        <w:rPr>
          <w:rFonts w:ascii="Arial" w:hAnsi="Arial" w:cs="Arial"/>
        </w:rPr>
        <w:t xml:space="preserve">eine dichte Milieustudie der hohen sowjetischen Nomenklatura, die dem </w:t>
      </w:r>
      <w:r w:rsidR="0090490C">
        <w:rPr>
          <w:rFonts w:ascii="Arial" w:hAnsi="Arial" w:cs="Arial"/>
        </w:rPr>
        <w:t xml:space="preserve">stereotypen Bild des </w:t>
      </w:r>
      <w:r w:rsidR="00D032E5">
        <w:rPr>
          <w:rFonts w:ascii="Arial" w:hAnsi="Arial" w:cs="Arial"/>
        </w:rPr>
        <w:t xml:space="preserve">bornierten </w:t>
      </w:r>
      <w:r w:rsidR="0090490C">
        <w:rPr>
          <w:rFonts w:ascii="Arial" w:hAnsi="Arial" w:cs="Arial"/>
        </w:rPr>
        <w:t xml:space="preserve">stalinistischen Apparatschiks kaum entspricht. </w:t>
      </w:r>
      <w:r w:rsidR="002908CF">
        <w:rPr>
          <w:rFonts w:ascii="Arial" w:hAnsi="Arial" w:cs="Arial"/>
        </w:rPr>
        <w:t xml:space="preserve">Das „Haus der Regierung“ wird in erster Linie </w:t>
      </w:r>
      <w:r w:rsidR="00D032E5">
        <w:rPr>
          <w:rFonts w:ascii="Arial" w:hAnsi="Arial" w:cs="Arial"/>
        </w:rPr>
        <w:t xml:space="preserve">nicht von </w:t>
      </w:r>
      <w:r w:rsidR="002908CF">
        <w:rPr>
          <w:rFonts w:ascii="Arial" w:hAnsi="Arial" w:cs="Arial"/>
        </w:rPr>
        <w:t xml:space="preserve">großteils abwesenden, in ihrer Arbeit aufgehenden </w:t>
      </w:r>
      <w:r w:rsidR="00D032E5">
        <w:rPr>
          <w:rFonts w:ascii="Arial" w:hAnsi="Arial" w:cs="Arial"/>
        </w:rPr>
        <w:t xml:space="preserve">oder in ihren mit Büchern bestückten Arbeitszimmern sich verschanzenden </w:t>
      </w:r>
      <w:r w:rsidR="00500F79">
        <w:rPr>
          <w:rFonts w:ascii="Arial" w:hAnsi="Arial" w:cs="Arial"/>
        </w:rPr>
        <w:t>Väter</w:t>
      </w:r>
      <w:r w:rsidR="00D032E5">
        <w:rPr>
          <w:rFonts w:ascii="Arial" w:hAnsi="Arial" w:cs="Arial"/>
        </w:rPr>
        <w:t>n</w:t>
      </w:r>
      <w:r w:rsidR="00500F79">
        <w:rPr>
          <w:rFonts w:ascii="Arial" w:hAnsi="Arial" w:cs="Arial"/>
        </w:rPr>
        <w:t xml:space="preserve"> bewohnt</w:t>
      </w:r>
      <w:r w:rsidR="00D032E5">
        <w:rPr>
          <w:rFonts w:ascii="Arial" w:hAnsi="Arial" w:cs="Arial"/>
        </w:rPr>
        <w:t xml:space="preserve">, sondern </w:t>
      </w:r>
      <w:r w:rsidR="00D032E5">
        <w:rPr>
          <w:rFonts w:ascii="Arial" w:hAnsi="Arial" w:cs="Arial"/>
        </w:rPr>
        <w:t xml:space="preserve">von </w:t>
      </w:r>
      <w:r w:rsidR="00D032E5">
        <w:rPr>
          <w:rFonts w:ascii="Arial" w:hAnsi="Arial" w:cs="Arial"/>
        </w:rPr>
        <w:t xml:space="preserve">ihren </w:t>
      </w:r>
      <w:r w:rsidR="00D032E5">
        <w:rPr>
          <w:rFonts w:ascii="Arial" w:hAnsi="Arial" w:cs="Arial"/>
        </w:rPr>
        <w:t>ausgedehnten Familien</w:t>
      </w:r>
      <w:r w:rsidR="00500F79">
        <w:rPr>
          <w:rFonts w:ascii="Arial" w:hAnsi="Arial" w:cs="Arial"/>
        </w:rPr>
        <w:t>. A</w:t>
      </w:r>
      <w:r w:rsidR="002908CF">
        <w:rPr>
          <w:rFonts w:ascii="Arial" w:hAnsi="Arial" w:cs="Arial"/>
        </w:rPr>
        <w:t xml:space="preserve">ußer Frauen und Kindern </w:t>
      </w:r>
      <w:r w:rsidR="00510F3D">
        <w:rPr>
          <w:rFonts w:ascii="Arial" w:hAnsi="Arial" w:cs="Arial"/>
        </w:rPr>
        <w:t xml:space="preserve">(oft aus erster und zweiter Ehe) </w:t>
      </w:r>
      <w:r w:rsidR="00500F79">
        <w:rPr>
          <w:rFonts w:ascii="Arial" w:hAnsi="Arial" w:cs="Arial"/>
        </w:rPr>
        <w:t xml:space="preserve">sind das </w:t>
      </w:r>
      <w:r w:rsidR="002908CF">
        <w:rPr>
          <w:rFonts w:ascii="Arial" w:hAnsi="Arial" w:cs="Arial"/>
        </w:rPr>
        <w:lastRenderedPageBreak/>
        <w:t xml:space="preserve">Großeltern, </w:t>
      </w:r>
      <w:r w:rsidR="00500F79">
        <w:rPr>
          <w:rFonts w:ascii="Arial" w:hAnsi="Arial" w:cs="Arial"/>
        </w:rPr>
        <w:t>verwitwete</w:t>
      </w:r>
      <w:r w:rsidR="002908CF">
        <w:rPr>
          <w:rFonts w:ascii="Arial" w:hAnsi="Arial" w:cs="Arial"/>
        </w:rPr>
        <w:t xml:space="preserve"> Tanten oder aus den Hungergeb</w:t>
      </w:r>
      <w:r w:rsidR="00500F79">
        <w:rPr>
          <w:rFonts w:ascii="Arial" w:hAnsi="Arial" w:cs="Arial"/>
        </w:rPr>
        <w:t>ieten geflüchtete Angehörige</w:t>
      </w:r>
      <w:r w:rsidR="00510F3D">
        <w:rPr>
          <w:rFonts w:ascii="Arial" w:hAnsi="Arial" w:cs="Arial"/>
        </w:rPr>
        <w:t xml:space="preserve">. Viele von ihnen sind </w:t>
      </w:r>
      <w:r w:rsidR="002908CF">
        <w:rPr>
          <w:rFonts w:ascii="Arial" w:hAnsi="Arial" w:cs="Arial"/>
        </w:rPr>
        <w:t xml:space="preserve">bäuerlicher Herkunft, so wie die </w:t>
      </w:r>
      <w:r w:rsidR="002908CF">
        <w:rPr>
          <w:rFonts w:ascii="Arial" w:hAnsi="Arial" w:cs="Arial"/>
        </w:rPr>
        <w:t>Bedienstete</w:t>
      </w:r>
      <w:r w:rsidR="002908CF">
        <w:rPr>
          <w:rFonts w:ascii="Arial" w:hAnsi="Arial" w:cs="Arial"/>
        </w:rPr>
        <w:t>n</w:t>
      </w:r>
      <w:r w:rsidR="002908CF">
        <w:rPr>
          <w:rFonts w:ascii="Arial" w:hAnsi="Arial" w:cs="Arial"/>
        </w:rPr>
        <w:t xml:space="preserve"> und Kinderfrauen</w:t>
      </w:r>
      <w:r w:rsidR="002908CF">
        <w:rPr>
          <w:rFonts w:ascii="Arial" w:hAnsi="Arial" w:cs="Arial"/>
        </w:rPr>
        <w:t xml:space="preserve"> auch, die </w:t>
      </w:r>
      <w:r w:rsidR="00346AC2">
        <w:rPr>
          <w:rFonts w:ascii="Arial" w:hAnsi="Arial" w:cs="Arial"/>
        </w:rPr>
        <w:t xml:space="preserve">mit </w:t>
      </w:r>
      <w:r w:rsidR="002908CF">
        <w:rPr>
          <w:rFonts w:ascii="Arial" w:hAnsi="Arial" w:cs="Arial"/>
        </w:rPr>
        <w:t xml:space="preserve">zum Haushalt gehören. So entspricht dem Leben in der politisierten Öffentlichkeit ein nach innen gewendetes Privatleben </w:t>
      </w:r>
      <w:r w:rsidR="00D30EE2">
        <w:rPr>
          <w:rFonts w:ascii="Arial" w:hAnsi="Arial" w:cs="Arial"/>
        </w:rPr>
        <w:t xml:space="preserve">eher </w:t>
      </w:r>
      <w:r w:rsidR="002908CF">
        <w:rPr>
          <w:rFonts w:ascii="Arial" w:hAnsi="Arial" w:cs="Arial"/>
        </w:rPr>
        <w:t xml:space="preserve">traditioneller Art, das sich außer um die </w:t>
      </w:r>
      <w:r w:rsidR="00346AC2">
        <w:rPr>
          <w:rFonts w:ascii="Arial" w:hAnsi="Arial" w:cs="Arial"/>
        </w:rPr>
        <w:t xml:space="preserve">hohen </w:t>
      </w:r>
      <w:r w:rsidR="002908CF">
        <w:rPr>
          <w:rFonts w:ascii="Arial" w:hAnsi="Arial" w:cs="Arial"/>
        </w:rPr>
        <w:t xml:space="preserve">sowjetischen Festtage </w:t>
      </w:r>
      <w:r w:rsidR="00346AC2">
        <w:rPr>
          <w:rFonts w:ascii="Arial" w:hAnsi="Arial" w:cs="Arial"/>
        </w:rPr>
        <w:t>und prominenten kulturellen Ereignisse (</w:t>
      </w:r>
      <w:r w:rsidR="00AA4F84">
        <w:rPr>
          <w:rFonts w:ascii="Arial" w:hAnsi="Arial" w:cs="Arial"/>
        </w:rPr>
        <w:t xml:space="preserve">mit </w:t>
      </w:r>
      <w:r w:rsidR="00346AC2">
        <w:rPr>
          <w:rFonts w:ascii="Arial" w:hAnsi="Arial" w:cs="Arial"/>
        </w:rPr>
        <w:t xml:space="preserve">reservierten Logen und Plätzen in Oper, Ballett oder </w:t>
      </w:r>
      <w:r w:rsidR="00AA4F84">
        <w:rPr>
          <w:rFonts w:ascii="Arial" w:hAnsi="Arial" w:cs="Arial"/>
        </w:rPr>
        <w:t>Schauspiel</w:t>
      </w:r>
      <w:r w:rsidR="00346AC2">
        <w:rPr>
          <w:rFonts w:ascii="Arial" w:hAnsi="Arial" w:cs="Arial"/>
        </w:rPr>
        <w:t>) zunehmend wieder um die traditionellen Feiertage und Familienereignisse gruppiert, wie Geburtstage, Hochzeiten, Weihnachts- und Sylvesterfeiern.</w:t>
      </w:r>
      <w:r w:rsidR="00D30EE2">
        <w:rPr>
          <w:rFonts w:ascii="Arial" w:hAnsi="Arial" w:cs="Arial"/>
        </w:rPr>
        <w:t xml:space="preserve"> </w:t>
      </w:r>
    </w:p>
    <w:p w:rsidR="00346AC2" w:rsidRDefault="00346AC2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wenigsten führen ein offenes, gastfreies Haus, außer für </w:t>
      </w:r>
      <w:r w:rsidR="00406B17">
        <w:rPr>
          <w:rFonts w:ascii="Arial" w:hAnsi="Arial" w:cs="Arial"/>
        </w:rPr>
        <w:t xml:space="preserve">enge </w:t>
      </w:r>
      <w:r>
        <w:rPr>
          <w:rFonts w:ascii="Arial" w:hAnsi="Arial" w:cs="Arial"/>
        </w:rPr>
        <w:t>Freunde und</w:t>
      </w:r>
      <w:r w:rsidR="00AA4F84">
        <w:rPr>
          <w:rFonts w:ascii="Arial" w:hAnsi="Arial" w:cs="Arial"/>
        </w:rPr>
        <w:t xml:space="preserve"> Nachbarn</w:t>
      </w:r>
      <w:r>
        <w:rPr>
          <w:rFonts w:ascii="Arial" w:hAnsi="Arial" w:cs="Arial"/>
        </w:rPr>
        <w:t xml:space="preserve">. Die </w:t>
      </w:r>
      <w:r w:rsidR="00927C79">
        <w:rPr>
          <w:rFonts w:ascii="Arial" w:hAnsi="Arial" w:cs="Arial"/>
        </w:rPr>
        <w:t xml:space="preserve">vielen „kommunistischen“ </w:t>
      </w:r>
      <w:r>
        <w:rPr>
          <w:rFonts w:ascii="Arial" w:hAnsi="Arial" w:cs="Arial"/>
        </w:rPr>
        <w:t xml:space="preserve">Gemeinschaftseinrichtungen werden </w:t>
      </w:r>
      <w:r w:rsidR="00D30EE2">
        <w:rPr>
          <w:rFonts w:ascii="Arial" w:hAnsi="Arial" w:cs="Arial"/>
        </w:rPr>
        <w:t xml:space="preserve">nur selten </w:t>
      </w:r>
      <w:r w:rsidR="00927C79">
        <w:rPr>
          <w:rFonts w:ascii="Arial" w:hAnsi="Arial" w:cs="Arial"/>
        </w:rPr>
        <w:t xml:space="preserve">in Anspruch genommen, </w:t>
      </w:r>
      <w:r w:rsidR="00AA4F84">
        <w:rPr>
          <w:rFonts w:ascii="Arial" w:hAnsi="Arial" w:cs="Arial"/>
        </w:rPr>
        <w:t xml:space="preserve">eher schon die </w:t>
      </w:r>
      <w:r w:rsidR="00927C79">
        <w:rPr>
          <w:rFonts w:ascii="Arial" w:hAnsi="Arial" w:cs="Arial"/>
        </w:rPr>
        <w:t>Ferienheime und Wochenend-Resorts</w:t>
      </w:r>
      <w:r w:rsidR="00510F3D">
        <w:rPr>
          <w:rFonts w:ascii="Arial" w:hAnsi="Arial" w:cs="Arial"/>
        </w:rPr>
        <w:t xml:space="preserve"> vor der Stadt</w:t>
      </w:r>
      <w:r w:rsidR="00927C79">
        <w:rPr>
          <w:rFonts w:ascii="Arial" w:hAnsi="Arial" w:cs="Arial"/>
        </w:rPr>
        <w:t xml:space="preserve">; aber auch hier geht der Trend zur </w:t>
      </w:r>
      <w:r w:rsidR="00AA4F84">
        <w:rPr>
          <w:rFonts w:ascii="Arial" w:hAnsi="Arial" w:cs="Arial"/>
        </w:rPr>
        <w:t xml:space="preserve">„privaten“ </w:t>
      </w:r>
      <w:r w:rsidR="00927C79">
        <w:rPr>
          <w:rFonts w:ascii="Arial" w:hAnsi="Arial" w:cs="Arial"/>
        </w:rPr>
        <w:t xml:space="preserve">Familiendatscha. Die Frauen lassen sich ihre </w:t>
      </w:r>
      <w:r w:rsidR="00D032E5">
        <w:rPr>
          <w:rFonts w:ascii="Arial" w:hAnsi="Arial" w:cs="Arial"/>
        </w:rPr>
        <w:t xml:space="preserve">zunehmend eleganten </w:t>
      </w:r>
      <w:r w:rsidR="00927C79">
        <w:rPr>
          <w:rFonts w:ascii="Arial" w:hAnsi="Arial" w:cs="Arial"/>
        </w:rPr>
        <w:t xml:space="preserve">Kleider lieber außerhalb schneidern und machen </w:t>
      </w:r>
      <w:r w:rsidR="00AA4F84">
        <w:rPr>
          <w:rFonts w:ascii="Arial" w:hAnsi="Arial" w:cs="Arial"/>
        </w:rPr>
        <w:t>ihre Einkäufe</w:t>
      </w:r>
      <w:r w:rsidR="00AA4F84">
        <w:rPr>
          <w:rFonts w:ascii="Arial" w:hAnsi="Arial" w:cs="Arial"/>
        </w:rPr>
        <w:t xml:space="preserve"> </w:t>
      </w:r>
      <w:r w:rsidR="00927C79">
        <w:rPr>
          <w:rFonts w:ascii="Arial" w:hAnsi="Arial" w:cs="Arial"/>
        </w:rPr>
        <w:t>woanders (</w:t>
      </w:r>
      <w:r w:rsidR="00AA4F84">
        <w:rPr>
          <w:rFonts w:ascii="Arial" w:hAnsi="Arial" w:cs="Arial"/>
        </w:rPr>
        <w:t xml:space="preserve">am liebsten </w:t>
      </w:r>
      <w:r w:rsidR="00927C79">
        <w:rPr>
          <w:rFonts w:ascii="Arial" w:hAnsi="Arial" w:cs="Arial"/>
        </w:rPr>
        <w:t>bei Dienstreisen im Ausland)</w:t>
      </w:r>
      <w:r w:rsidR="00AA4F84">
        <w:rPr>
          <w:rFonts w:ascii="Arial" w:hAnsi="Arial" w:cs="Arial"/>
        </w:rPr>
        <w:t>. U</w:t>
      </w:r>
      <w:r w:rsidR="00927C79">
        <w:rPr>
          <w:rFonts w:ascii="Arial" w:hAnsi="Arial" w:cs="Arial"/>
        </w:rPr>
        <w:t>nd die Kinder spielen in den Höfen, bilden Cliquen, die nach ihren Schulgängen in der gefährlichen Umgebung herumstreifen</w:t>
      </w:r>
      <w:r w:rsidR="00406B17">
        <w:rPr>
          <w:rFonts w:ascii="Arial" w:hAnsi="Arial" w:cs="Arial"/>
        </w:rPr>
        <w:t>.</w:t>
      </w:r>
    </w:p>
    <w:p w:rsidR="00406B17" w:rsidRDefault="00621CCF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Kinder vor allem – unter ihnen der junge Trifonow und seine </w:t>
      </w:r>
      <w:r w:rsidR="00D30EE2">
        <w:rPr>
          <w:rFonts w:ascii="Arial" w:hAnsi="Arial" w:cs="Arial"/>
        </w:rPr>
        <w:t xml:space="preserve">hochbegabten </w:t>
      </w:r>
      <w:r>
        <w:rPr>
          <w:rFonts w:ascii="Arial" w:hAnsi="Arial" w:cs="Arial"/>
        </w:rPr>
        <w:t xml:space="preserve">Freunde – liefern einige der eindrücklichsten Skizzen dieser bolschewistischen Familien-Saga. Als Kleinkinder von ihren </w:t>
      </w:r>
      <w:r w:rsidR="00510F3D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religiösen, archaischen Bilderwelten lebenden Großmüttern und Kinderfrauen erzogen, treten sie in eine Welt ihrer Väter, aber auch ihrer Lehre</w:t>
      </w:r>
      <w:r w:rsidR="00510F3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und </w:t>
      </w:r>
      <w:r w:rsidR="00D032E5">
        <w:rPr>
          <w:rFonts w:ascii="Arial" w:hAnsi="Arial" w:cs="Arial"/>
        </w:rPr>
        <w:t xml:space="preserve">einer </w:t>
      </w:r>
      <w:r>
        <w:rPr>
          <w:rFonts w:ascii="Arial" w:hAnsi="Arial" w:cs="Arial"/>
        </w:rPr>
        <w:t xml:space="preserve">offiziellen Kultur der Stalinzeit ein, </w:t>
      </w:r>
      <w:r w:rsidR="00510F3D">
        <w:rPr>
          <w:rFonts w:ascii="Arial" w:hAnsi="Arial" w:cs="Arial"/>
        </w:rPr>
        <w:t xml:space="preserve">worin der </w:t>
      </w:r>
      <w:r>
        <w:rPr>
          <w:rFonts w:ascii="Arial" w:hAnsi="Arial" w:cs="Arial"/>
        </w:rPr>
        <w:t xml:space="preserve">Kanon eines bolschewistischen Denkens in apokalyptischen Endkampfkategorien sich auf die paradoxeste Weise mit einem </w:t>
      </w:r>
      <w:r w:rsidR="00D30EE2">
        <w:rPr>
          <w:rFonts w:ascii="Arial" w:hAnsi="Arial" w:cs="Arial"/>
        </w:rPr>
        <w:t xml:space="preserve">gegenläufigen, </w:t>
      </w:r>
      <w:r w:rsidR="00CF6363">
        <w:rPr>
          <w:rFonts w:ascii="Arial" w:hAnsi="Arial" w:cs="Arial"/>
        </w:rPr>
        <w:t>klassisch-humanistischen</w:t>
      </w:r>
      <w:r>
        <w:rPr>
          <w:rFonts w:ascii="Arial" w:hAnsi="Arial" w:cs="Arial"/>
        </w:rPr>
        <w:t xml:space="preserve"> Bildungskanon vermischt. </w:t>
      </w:r>
      <w:r w:rsidR="00CF6363">
        <w:rPr>
          <w:rFonts w:ascii="Arial" w:hAnsi="Arial" w:cs="Arial"/>
        </w:rPr>
        <w:t xml:space="preserve">Das Jahr des großen Terrors ist auch das Puschkin Jahr, und </w:t>
      </w:r>
      <w:r>
        <w:rPr>
          <w:rFonts w:ascii="Arial" w:hAnsi="Arial" w:cs="Arial"/>
        </w:rPr>
        <w:t>Puschkin</w:t>
      </w:r>
      <w:r w:rsidR="00CF6363">
        <w:rPr>
          <w:rFonts w:ascii="Arial" w:hAnsi="Arial" w:cs="Arial"/>
        </w:rPr>
        <w:t>s „Onegin“</w:t>
      </w:r>
      <w:r w:rsidR="00510F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Tolstoi</w:t>
      </w:r>
      <w:r w:rsidR="00CF6363">
        <w:rPr>
          <w:rFonts w:ascii="Arial" w:hAnsi="Arial" w:cs="Arial"/>
        </w:rPr>
        <w:t>s „Krieg und Frieden“</w:t>
      </w:r>
      <w:r>
        <w:rPr>
          <w:rFonts w:ascii="Arial" w:hAnsi="Arial" w:cs="Arial"/>
        </w:rPr>
        <w:t>, Goethe</w:t>
      </w:r>
      <w:r w:rsidR="00CF6363">
        <w:rPr>
          <w:rFonts w:ascii="Arial" w:hAnsi="Arial" w:cs="Arial"/>
        </w:rPr>
        <w:t>s „Faust“</w:t>
      </w:r>
      <w:r>
        <w:rPr>
          <w:rFonts w:ascii="Arial" w:hAnsi="Arial" w:cs="Arial"/>
        </w:rPr>
        <w:t xml:space="preserve"> oder Balzac</w:t>
      </w:r>
      <w:r w:rsidR="00CF6363">
        <w:rPr>
          <w:rFonts w:ascii="Arial" w:hAnsi="Arial" w:cs="Arial"/>
        </w:rPr>
        <w:t xml:space="preserve">s „Menschliche Kömödie“ liefern die großen Leseerlebnisse dieser unendlich bildungshungrigen Generation, viel mehr als die </w:t>
      </w:r>
      <w:r w:rsidR="00D032E5">
        <w:rPr>
          <w:rFonts w:ascii="Arial" w:hAnsi="Arial" w:cs="Arial"/>
        </w:rPr>
        <w:t>sowjetischen Groß</w:t>
      </w:r>
      <w:r w:rsidR="00CF6363">
        <w:rPr>
          <w:rFonts w:ascii="Arial" w:hAnsi="Arial" w:cs="Arial"/>
        </w:rPr>
        <w:t xml:space="preserve">autoren mit ihren </w:t>
      </w:r>
      <w:r w:rsidR="00D032E5">
        <w:rPr>
          <w:rFonts w:ascii="Arial" w:hAnsi="Arial" w:cs="Arial"/>
        </w:rPr>
        <w:t xml:space="preserve">heroischen </w:t>
      </w:r>
      <w:r w:rsidR="00CF6363">
        <w:rPr>
          <w:rFonts w:ascii="Arial" w:hAnsi="Arial" w:cs="Arial"/>
        </w:rPr>
        <w:t>Bürgerkriegsepen und „negativen“ oder „positiven Helden“.</w:t>
      </w:r>
    </w:p>
    <w:p w:rsidR="00FF3AD0" w:rsidRDefault="00CF6363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Hier, </w:t>
      </w:r>
      <w:r w:rsidR="00D032E5">
        <w:rPr>
          <w:rFonts w:ascii="Arial" w:hAnsi="Arial" w:cs="Arial"/>
        </w:rPr>
        <w:t xml:space="preserve">bei </w:t>
      </w:r>
      <w:r>
        <w:rPr>
          <w:rFonts w:ascii="Arial" w:hAnsi="Arial" w:cs="Arial"/>
        </w:rPr>
        <w:t xml:space="preserve">den Kindern, </w:t>
      </w:r>
      <w:r w:rsidR="00D032E5">
        <w:rPr>
          <w:rFonts w:ascii="Arial" w:hAnsi="Arial" w:cs="Arial"/>
        </w:rPr>
        <w:t xml:space="preserve">aber </w:t>
      </w:r>
      <w:r>
        <w:rPr>
          <w:rFonts w:ascii="Arial" w:hAnsi="Arial" w:cs="Arial"/>
        </w:rPr>
        <w:t xml:space="preserve">auch den Frauen findet Slezkine den Grund, warum das „sowjetische Zeitalter ... </w:t>
      </w:r>
      <w:r w:rsidR="00E54126">
        <w:rPr>
          <w:rFonts w:ascii="Arial" w:hAnsi="Arial" w:cs="Arial"/>
        </w:rPr>
        <w:t xml:space="preserve">nicht länger als ein Menschenleben“ währte, im Wesentlichen die Geschichte </w:t>
      </w:r>
      <w:r w:rsidR="00D30EE2">
        <w:rPr>
          <w:rFonts w:ascii="Arial" w:hAnsi="Arial" w:cs="Arial"/>
        </w:rPr>
        <w:t xml:space="preserve">dieser Gründergeneration </w:t>
      </w:r>
      <w:r w:rsidR="00E54126">
        <w:rPr>
          <w:rFonts w:ascii="Arial" w:hAnsi="Arial" w:cs="Arial"/>
        </w:rPr>
        <w:t xml:space="preserve">blieb, die sich im großen Terror </w:t>
      </w:r>
      <w:r w:rsidR="000474FF">
        <w:rPr>
          <w:rFonts w:ascii="Arial" w:hAnsi="Arial" w:cs="Arial"/>
        </w:rPr>
        <w:t xml:space="preserve">schon </w:t>
      </w:r>
      <w:r w:rsidR="00E54126">
        <w:rPr>
          <w:rFonts w:ascii="Arial" w:hAnsi="Arial" w:cs="Arial"/>
        </w:rPr>
        <w:t xml:space="preserve">weitgehend selbst vernichtet </w:t>
      </w:r>
      <w:r w:rsidR="00FF3AD0">
        <w:rPr>
          <w:rFonts w:ascii="Arial" w:hAnsi="Arial" w:cs="Arial"/>
        </w:rPr>
        <w:t>und in den „</w:t>
      </w:r>
      <w:r w:rsidR="000474FF">
        <w:rPr>
          <w:rFonts w:ascii="Arial" w:hAnsi="Arial" w:cs="Arial"/>
        </w:rPr>
        <w:t>glücklichen Kind</w:t>
      </w:r>
      <w:r w:rsidR="00FF3AD0">
        <w:rPr>
          <w:rFonts w:ascii="Arial" w:hAnsi="Arial" w:cs="Arial"/>
        </w:rPr>
        <w:t>heiten“ der Stalinära nur scheinbar fortgezeugt habe.</w:t>
      </w:r>
    </w:p>
    <w:p w:rsidR="00CF6363" w:rsidRDefault="00E54126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Das führt allerdings zur Achillesferse des zentralen Arguments, um das herum </w:t>
      </w:r>
      <w:r w:rsidR="000474FF">
        <w:rPr>
          <w:rFonts w:ascii="Arial" w:hAnsi="Arial" w:cs="Arial"/>
        </w:rPr>
        <w:t xml:space="preserve">Slezkine </w:t>
      </w:r>
      <w:r w:rsidR="00FF3AD0">
        <w:rPr>
          <w:rFonts w:ascii="Arial" w:hAnsi="Arial" w:cs="Arial"/>
        </w:rPr>
        <w:t xml:space="preserve">diese </w:t>
      </w:r>
      <w:r>
        <w:rPr>
          <w:rFonts w:ascii="Arial" w:hAnsi="Arial" w:cs="Arial"/>
        </w:rPr>
        <w:t>ganze gewaltige „Saga“ aufbaut</w:t>
      </w:r>
      <w:r w:rsidR="0013090A">
        <w:rPr>
          <w:rFonts w:ascii="Arial" w:hAnsi="Arial" w:cs="Arial"/>
        </w:rPr>
        <w:t xml:space="preserve">: </w:t>
      </w:r>
      <w:r w:rsidR="00FF3AD0">
        <w:rPr>
          <w:rFonts w:ascii="Arial" w:hAnsi="Arial" w:cs="Arial"/>
        </w:rPr>
        <w:t>eine geschichtsphilosophische oder religionsgeschichtliche</w:t>
      </w:r>
      <w:r w:rsidR="00510F3D">
        <w:rPr>
          <w:rFonts w:ascii="Arial" w:hAnsi="Arial" w:cs="Arial"/>
        </w:rPr>
        <w:t xml:space="preserve"> These</w:t>
      </w:r>
      <w:r w:rsidR="00FF3A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die</w:t>
      </w:r>
      <w:r w:rsidR="00D30EE2">
        <w:rPr>
          <w:rFonts w:ascii="Arial" w:hAnsi="Arial" w:cs="Arial"/>
        </w:rPr>
        <w:t xml:space="preserve"> den</w:t>
      </w:r>
      <w:r>
        <w:rPr>
          <w:rFonts w:ascii="Arial" w:hAnsi="Arial" w:cs="Arial"/>
        </w:rPr>
        <w:t xml:space="preserve"> Bolschewismus in eine lange</w:t>
      </w:r>
      <w:r w:rsidR="00FF3AD0">
        <w:rPr>
          <w:rFonts w:ascii="Arial" w:hAnsi="Arial" w:cs="Arial"/>
        </w:rPr>
        <w:t xml:space="preserve"> Kontinuität millenaristischer (apokalyptischer, </w:t>
      </w:r>
      <w:r w:rsidR="0013090A">
        <w:rPr>
          <w:rFonts w:ascii="Arial" w:hAnsi="Arial" w:cs="Arial"/>
        </w:rPr>
        <w:t xml:space="preserve">messianischer, </w:t>
      </w:r>
      <w:r w:rsidR="00FF3AD0">
        <w:rPr>
          <w:rFonts w:ascii="Arial" w:hAnsi="Arial" w:cs="Arial"/>
        </w:rPr>
        <w:t xml:space="preserve">endzeitlicher) Bewegungen einordnet, </w:t>
      </w:r>
      <w:r w:rsidR="0013090A">
        <w:rPr>
          <w:rFonts w:ascii="Arial" w:hAnsi="Arial" w:cs="Arial"/>
        </w:rPr>
        <w:t xml:space="preserve">welche – vor allem in jüdisch-christlicher Tradition – </w:t>
      </w:r>
      <w:r w:rsidR="00FF3AD0">
        <w:rPr>
          <w:rFonts w:ascii="Arial" w:hAnsi="Arial" w:cs="Arial"/>
        </w:rPr>
        <w:t>am Ende eines Jüngsten Gerichts</w:t>
      </w:r>
      <w:r w:rsidR="000474FF">
        <w:rPr>
          <w:rFonts w:ascii="Arial" w:hAnsi="Arial" w:cs="Arial"/>
        </w:rPr>
        <w:t xml:space="preserve"> über die alte, korrupte Welt dem</w:t>
      </w:r>
      <w:r w:rsidR="00FF3AD0">
        <w:rPr>
          <w:rFonts w:ascii="Arial" w:hAnsi="Arial" w:cs="Arial"/>
        </w:rPr>
        <w:t xml:space="preserve"> Anbruch eines neuen, tausendjährigen Reiches </w:t>
      </w:r>
      <w:r w:rsidR="000474FF">
        <w:rPr>
          <w:rFonts w:ascii="Arial" w:hAnsi="Arial" w:cs="Arial"/>
        </w:rPr>
        <w:t>voll ewiger</w:t>
      </w:r>
      <w:r w:rsidR="00FF3AD0">
        <w:rPr>
          <w:rFonts w:ascii="Arial" w:hAnsi="Arial" w:cs="Arial"/>
        </w:rPr>
        <w:t xml:space="preserve"> Harmonie</w:t>
      </w:r>
      <w:r w:rsidR="000474FF">
        <w:rPr>
          <w:rFonts w:ascii="Arial" w:hAnsi="Arial" w:cs="Arial"/>
        </w:rPr>
        <w:t xml:space="preserve"> </w:t>
      </w:r>
      <w:r w:rsidR="0013090A">
        <w:rPr>
          <w:rFonts w:ascii="Arial" w:hAnsi="Arial" w:cs="Arial"/>
        </w:rPr>
        <w:t>entgegenfieberten.</w:t>
      </w:r>
    </w:p>
    <w:p w:rsidR="002B21CA" w:rsidRDefault="0013090A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Slezkine, von Haus aus gelernter Ethnologe, belässt es nicht bei Formeln und Andeutungen</w:t>
      </w:r>
      <w:r w:rsidR="004504BD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ondern er nimmt sein Argument ernst und entfaltet es in einer theoretisch höchst </w:t>
      </w:r>
      <w:r w:rsidR="002B21CA">
        <w:rPr>
          <w:rFonts w:ascii="Arial" w:hAnsi="Arial" w:cs="Arial"/>
        </w:rPr>
        <w:t xml:space="preserve">anspruchsvollen </w:t>
      </w:r>
      <w:r>
        <w:rPr>
          <w:rFonts w:ascii="Arial" w:hAnsi="Arial" w:cs="Arial"/>
        </w:rPr>
        <w:t>Art und Weise, die sich hier weder referieren noch widerlegen lässt.</w:t>
      </w:r>
      <w:r w:rsidR="00510F3D">
        <w:rPr>
          <w:rFonts w:ascii="Arial" w:hAnsi="Arial" w:cs="Arial"/>
        </w:rPr>
        <w:t xml:space="preserve"> </w:t>
      </w:r>
      <w:r w:rsidR="002B21CA">
        <w:rPr>
          <w:rFonts w:ascii="Arial" w:hAnsi="Arial" w:cs="Arial"/>
        </w:rPr>
        <w:t>Auch wenn man (wie der Autor dieser Zeilen) unüberzeugt bleibt</w:t>
      </w:r>
      <w:r w:rsidR="002B21CA">
        <w:rPr>
          <w:rFonts w:ascii="Arial" w:hAnsi="Arial" w:cs="Arial"/>
        </w:rPr>
        <w:t xml:space="preserve"> – e</w:t>
      </w:r>
      <w:r w:rsidR="00510F3D">
        <w:rPr>
          <w:rFonts w:ascii="Arial" w:hAnsi="Arial" w:cs="Arial"/>
        </w:rPr>
        <w:t>s ist ein intellektuelles Vergnüg</w:t>
      </w:r>
      <w:r w:rsidR="00DF20EA">
        <w:rPr>
          <w:rFonts w:ascii="Arial" w:hAnsi="Arial" w:cs="Arial"/>
        </w:rPr>
        <w:t xml:space="preserve">en eigener Art, sich auf diesen, </w:t>
      </w:r>
      <w:r w:rsidR="001E0A95">
        <w:rPr>
          <w:rFonts w:ascii="Arial" w:hAnsi="Arial" w:cs="Arial"/>
        </w:rPr>
        <w:t>in blitzende Aperçus gefassten Ritt durch die Religions- und Geistesge</w:t>
      </w:r>
      <w:r w:rsidR="002B21CA">
        <w:rPr>
          <w:rFonts w:ascii="Arial" w:hAnsi="Arial" w:cs="Arial"/>
        </w:rPr>
        <w:t xml:space="preserve">schichte einzulassen: </w:t>
      </w:r>
      <w:r w:rsidR="001E0A95">
        <w:rPr>
          <w:rFonts w:ascii="Arial" w:hAnsi="Arial" w:cs="Arial"/>
        </w:rPr>
        <w:t>von Moses und den Propheten bis Jesus als den Begründer der vielleicht „totalitärsten“ Sekte, die es erfolgreich verstand, sich in eine Reichskirche zu</w:t>
      </w:r>
      <w:r w:rsidR="002B21CA">
        <w:rPr>
          <w:rFonts w:ascii="Arial" w:hAnsi="Arial" w:cs="Arial"/>
        </w:rPr>
        <w:t xml:space="preserve"> transformieren</w:t>
      </w:r>
      <w:r w:rsidR="00DF20EA">
        <w:rPr>
          <w:rFonts w:ascii="Arial" w:hAnsi="Arial" w:cs="Arial"/>
        </w:rPr>
        <w:t xml:space="preserve"> und in den Gewissen ihrer Subjekte selbst festzusetzen</w:t>
      </w:r>
      <w:r w:rsidR="002B21CA">
        <w:rPr>
          <w:rFonts w:ascii="Arial" w:hAnsi="Arial" w:cs="Arial"/>
        </w:rPr>
        <w:t>;</w:t>
      </w:r>
      <w:r w:rsidR="001E0A95">
        <w:rPr>
          <w:rFonts w:ascii="Arial" w:hAnsi="Arial" w:cs="Arial"/>
        </w:rPr>
        <w:t xml:space="preserve"> </w:t>
      </w:r>
      <w:r w:rsidR="002B21CA">
        <w:rPr>
          <w:rFonts w:ascii="Arial" w:hAnsi="Arial" w:cs="Arial"/>
        </w:rPr>
        <w:t xml:space="preserve">über </w:t>
      </w:r>
      <w:r w:rsidR="001E0A95">
        <w:rPr>
          <w:rFonts w:ascii="Arial" w:hAnsi="Arial" w:cs="Arial"/>
        </w:rPr>
        <w:t xml:space="preserve">Mohammed, der unversehens </w:t>
      </w:r>
      <w:r w:rsidR="00DF20EA">
        <w:rPr>
          <w:rFonts w:ascii="Arial" w:hAnsi="Arial" w:cs="Arial"/>
        </w:rPr>
        <w:t xml:space="preserve">vom Propheten </w:t>
      </w:r>
      <w:r w:rsidR="002B21CA">
        <w:rPr>
          <w:rFonts w:ascii="Arial" w:hAnsi="Arial" w:cs="Arial"/>
        </w:rPr>
        <w:t xml:space="preserve">zum </w:t>
      </w:r>
      <w:r w:rsidR="001E0A95">
        <w:rPr>
          <w:rFonts w:ascii="Arial" w:hAnsi="Arial" w:cs="Arial"/>
        </w:rPr>
        <w:t>Reichsgründer wurde</w:t>
      </w:r>
      <w:r w:rsidR="00DF20EA">
        <w:rPr>
          <w:rFonts w:ascii="Arial" w:hAnsi="Arial" w:cs="Arial"/>
        </w:rPr>
        <w:t>;</w:t>
      </w:r>
      <w:r w:rsidR="001E0A95">
        <w:rPr>
          <w:rFonts w:ascii="Arial" w:hAnsi="Arial" w:cs="Arial"/>
        </w:rPr>
        <w:t xml:space="preserve"> bis hin zu den großen Reformatoren und den </w:t>
      </w:r>
      <w:r w:rsidR="002B21CA">
        <w:rPr>
          <w:rFonts w:ascii="Arial" w:hAnsi="Arial" w:cs="Arial"/>
        </w:rPr>
        <w:t xml:space="preserve">parallelen </w:t>
      </w:r>
      <w:r w:rsidR="001E0A95">
        <w:rPr>
          <w:rFonts w:ascii="Arial" w:hAnsi="Arial" w:cs="Arial"/>
        </w:rPr>
        <w:t xml:space="preserve">millenaristischen Sekten, die Amerika mitbegründet und den Gärstoff der Geschichte Russlands geliefert haben; und </w:t>
      </w:r>
      <w:r w:rsidR="002B21CA">
        <w:rPr>
          <w:rFonts w:ascii="Arial" w:hAnsi="Arial" w:cs="Arial"/>
        </w:rPr>
        <w:t xml:space="preserve">von dort schließlich </w:t>
      </w:r>
      <w:r w:rsidR="001E0A95">
        <w:rPr>
          <w:rFonts w:ascii="Arial" w:hAnsi="Arial" w:cs="Arial"/>
        </w:rPr>
        <w:t xml:space="preserve">weiter bis Marx als dem Propheten eines kommunistischen Endreichs, der in den </w:t>
      </w:r>
      <w:r w:rsidR="002B21CA">
        <w:rPr>
          <w:rFonts w:ascii="Arial" w:hAnsi="Arial" w:cs="Arial"/>
        </w:rPr>
        <w:t>Milieus der russischen Intelligenzija seine eigentlichen, treuesten, fanatischsten Schüler gefunden habe</w:t>
      </w:r>
      <w:r w:rsidR="00AD4B1D">
        <w:rPr>
          <w:rFonts w:ascii="Arial" w:hAnsi="Arial" w:cs="Arial"/>
        </w:rPr>
        <w:t>: Lenins Bolschewiki.</w:t>
      </w:r>
    </w:p>
    <w:p w:rsidR="000E2878" w:rsidRDefault="002B21CA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E0A95">
        <w:rPr>
          <w:rFonts w:ascii="Arial" w:hAnsi="Arial" w:cs="Arial"/>
        </w:rPr>
        <w:t xml:space="preserve">rotz aller </w:t>
      </w:r>
      <w:r>
        <w:rPr>
          <w:rFonts w:ascii="Arial" w:hAnsi="Arial" w:cs="Arial"/>
        </w:rPr>
        <w:t xml:space="preserve">glänzenden geistesgeschichtlichen Exkursionen </w:t>
      </w:r>
      <w:r w:rsidR="009C65E9">
        <w:rPr>
          <w:rFonts w:ascii="Arial" w:hAnsi="Arial" w:cs="Arial"/>
        </w:rPr>
        <w:t>bleibt das ein abstrakter, meta</w:t>
      </w:r>
      <w:r w:rsidR="00AD4B1D">
        <w:rPr>
          <w:rFonts w:ascii="Arial" w:hAnsi="Arial" w:cs="Arial"/>
        </w:rPr>
        <w:t>historischer Rahmen der Interpretation</w:t>
      </w:r>
      <w:r w:rsidR="00430340">
        <w:rPr>
          <w:rFonts w:ascii="Arial" w:hAnsi="Arial" w:cs="Arial"/>
        </w:rPr>
        <w:t xml:space="preserve">. Der </w:t>
      </w:r>
      <w:r w:rsidR="00AD4B1D">
        <w:rPr>
          <w:rFonts w:ascii="Arial" w:hAnsi="Arial" w:cs="Arial"/>
        </w:rPr>
        <w:t>„</w:t>
      </w:r>
      <w:r w:rsidR="00430340">
        <w:rPr>
          <w:rFonts w:ascii="Arial" w:hAnsi="Arial" w:cs="Arial"/>
        </w:rPr>
        <w:t>real existierende</w:t>
      </w:r>
      <w:r w:rsidR="00AD4B1D">
        <w:rPr>
          <w:rFonts w:ascii="Arial" w:hAnsi="Arial" w:cs="Arial"/>
        </w:rPr>
        <w:t xml:space="preserve">“ </w:t>
      </w:r>
      <w:r w:rsidR="00430340">
        <w:rPr>
          <w:rFonts w:ascii="Arial" w:hAnsi="Arial" w:cs="Arial"/>
        </w:rPr>
        <w:t>moderne</w:t>
      </w:r>
      <w:r w:rsidR="00AD4B1D">
        <w:rPr>
          <w:rFonts w:ascii="Arial" w:hAnsi="Arial" w:cs="Arial"/>
        </w:rPr>
        <w:t xml:space="preserve"> Kapitalismus, Kolonialismus und Imperialismus, </w:t>
      </w:r>
      <w:r w:rsidR="009C65E9">
        <w:rPr>
          <w:rFonts w:ascii="Arial" w:hAnsi="Arial" w:cs="Arial"/>
        </w:rPr>
        <w:t xml:space="preserve">die </w:t>
      </w:r>
      <w:r w:rsidR="00AD4B1D">
        <w:rPr>
          <w:rFonts w:ascii="Arial" w:hAnsi="Arial" w:cs="Arial"/>
        </w:rPr>
        <w:t>Weltkriege und Weltkrisen</w:t>
      </w:r>
      <w:r w:rsidR="00430340">
        <w:rPr>
          <w:rFonts w:ascii="Arial" w:hAnsi="Arial" w:cs="Arial"/>
        </w:rPr>
        <w:t xml:space="preserve">, </w:t>
      </w:r>
      <w:r w:rsidR="009C65E9">
        <w:rPr>
          <w:rFonts w:ascii="Arial" w:hAnsi="Arial" w:cs="Arial"/>
        </w:rPr>
        <w:t xml:space="preserve">die </w:t>
      </w:r>
      <w:r w:rsidR="00AD4B1D">
        <w:rPr>
          <w:rFonts w:ascii="Arial" w:hAnsi="Arial" w:cs="Arial"/>
        </w:rPr>
        <w:t>materielle</w:t>
      </w:r>
      <w:r w:rsidR="009C65E9">
        <w:rPr>
          <w:rFonts w:ascii="Arial" w:hAnsi="Arial" w:cs="Arial"/>
        </w:rPr>
        <w:t>n</w:t>
      </w:r>
      <w:r w:rsidR="00AD4B1D">
        <w:rPr>
          <w:rFonts w:ascii="Arial" w:hAnsi="Arial" w:cs="Arial"/>
        </w:rPr>
        <w:t xml:space="preserve"> Entwicklungssprünge</w:t>
      </w:r>
      <w:r w:rsidR="00430340">
        <w:rPr>
          <w:rFonts w:ascii="Arial" w:hAnsi="Arial" w:cs="Arial"/>
        </w:rPr>
        <w:t>, technische</w:t>
      </w:r>
      <w:r w:rsidR="00D30EE2">
        <w:rPr>
          <w:rFonts w:ascii="Arial" w:hAnsi="Arial" w:cs="Arial"/>
        </w:rPr>
        <w:t>n</w:t>
      </w:r>
      <w:r w:rsidR="00430340">
        <w:rPr>
          <w:rFonts w:ascii="Arial" w:hAnsi="Arial" w:cs="Arial"/>
        </w:rPr>
        <w:t xml:space="preserve"> Innovationen, </w:t>
      </w:r>
      <w:r w:rsidR="00430340">
        <w:rPr>
          <w:rFonts w:ascii="Arial" w:hAnsi="Arial" w:cs="Arial"/>
        </w:rPr>
        <w:t xml:space="preserve">Umstürze und </w:t>
      </w:r>
      <w:r w:rsidR="00430340">
        <w:rPr>
          <w:rFonts w:ascii="Arial" w:hAnsi="Arial" w:cs="Arial"/>
        </w:rPr>
        <w:t>politische</w:t>
      </w:r>
      <w:r w:rsidR="00D30EE2">
        <w:rPr>
          <w:rFonts w:ascii="Arial" w:hAnsi="Arial" w:cs="Arial"/>
        </w:rPr>
        <w:t>n</w:t>
      </w:r>
      <w:r w:rsidR="00430340">
        <w:rPr>
          <w:rFonts w:ascii="Arial" w:hAnsi="Arial" w:cs="Arial"/>
        </w:rPr>
        <w:t xml:space="preserve"> Neubildungen</w:t>
      </w:r>
      <w:r w:rsidR="00430340">
        <w:rPr>
          <w:rFonts w:ascii="Arial" w:hAnsi="Arial" w:cs="Arial"/>
        </w:rPr>
        <w:t xml:space="preserve">, </w:t>
      </w:r>
      <w:r w:rsidR="00AD4B1D">
        <w:rPr>
          <w:rFonts w:ascii="Arial" w:hAnsi="Arial" w:cs="Arial"/>
        </w:rPr>
        <w:t>Erschüt</w:t>
      </w:r>
      <w:r w:rsidR="00430340">
        <w:rPr>
          <w:rFonts w:ascii="Arial" w:hAnsi="Arial" w:cs="Arial"/>
        </w:rPr>
        <w:t>terungen der mentalen Strukturen und überkommenen Weltbilder</w:t>
      </w:r>
      <w:r w:rsidR="009C65E9">
        <w:rPr>
          <w:rFonts w:ascii="Arial" w:hAnsi="Arial" w:cs="Arial"/>
        </w:rPr>
        <w:t xml:space="preserve"> </w:t>
      </w:r>
      <w:r w:rsidR="00430340">
        <w:rPr>
          <w:rFonts w:ascii="Arial" w:hAnsi="Arial" w:cs="Arial"/>
        </w:rPr>
        <w:t>–</w:t>
      </w:r>
      <w:r w:rsidR="00D30EE2">
        <w:rPr>
          <w:rFonts w:ascii="Arial" w:hAnsi="Arial" w:cs="Arial"/>
        </w:rPr>
        <w:t xml:space="preserve"> kurz: </w:t>
      </w:r>
      <w:r w:rsidR="00430340">
        <w:rPr>
          <w:rFonts w:ascii="Arial" w:hAnsi="Arial" w:cs="Arial"/>
        </w:rPr>
        <w:t>alles</w:t>
      </w:r>
      <w:r w:rsidR="009C65E9">
        <w:rPr>
          <w:rFonts w:ascii="Arial" w:hAnsi="Arial" w:cs="Arial"/>
        </w:rPr>
        <w:t>, was wir im weitesten Sinne als eine „moderne Welt“ fassen,</w:t>
      </w:r>
      <w:r w:rsidR="00430340">
        <w:rPr>
          <w:rFonts w:ascii="Arial" w:hAnsi="Arial" w:cs="Arial"/>
        </w:rPr>
        <w:t xml:space="preserve"> bleibt dem intensiven, gebannten Blick auf die emotionale, geistige, politische Formierung dieser singulären</w:t>
      </w:r>
      <w:r w:rsidR="009C65E9">
        <w:rPr>
          <w:rFonts w:ascii="Arial" w:hAnsi="Arial" w:cs="Arial"/>
        </w:rPr>
        <w:t xml:space="preserve"> </w:t>
      </w:r>
      <w:r w:rsidR="000E2878">
        <w:rPr>
          <w:rFonts w:ascii="Arial" w:hAnsi="Arial" w:cs="Arial"/>
        </w:rPr>
        <w:t>Machtkohorte</w:t>
      </w:r>
      <w:r w:rsidR="00430340">
        <w:rPr>
          <w:rFonts w:ascii="Arial" w:hAnsi="Arial" w:cs="Arial"/>
        </w:rPr>
        <w:t xml:space="preserve"> der bolschewistischen </w:t>
      </w:r>
      <w:r w:rsidR="009C65E9">
        <w:rPr>
          <w:rFonts w:ascii="Arial" w:hAnsi="Arial" w:cs="Arial"/>
        </w:rPr>
        <w:t>Gründer und der ungeheuerlichen Schic</w:t>
      </w:r>
      <w:r w:rsidR="00DF20EA">
        <w:rPr>
          <w:rFonts w:ascii="Arial" w:hAnsi="Arial" w:cs="Arial"/>
        </w:rPr>
        <w:t>ksale, die sie sich gegenseitig</w:t>
      </w:r>
      <w:r w:rsidR="009C65E9">
        <w:rPr>
          <w:rFonts w:ascii="Arial" w:hAnsi="Arial" w:cs="Arial"/>
        </w:rPr>
        <w:t xml:space="preserve"> bereitet haben, </w:t>
      </w:r>
      <w:r w:rsidR="000E2878">
        <w:rPr>
          <w:rFonts w:ascii="Arial" w:hAnsi="Arial" w:cs="Arial"/>
        </w:rPr>
        <w:t>äußerlich.</w:t>
      </w:r>
    </w:p>
    <w:p w:rsidR="00D62F6D" w:rsidRDefault="009C65E9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Gescheitert sei</w:t>
      </w:r>
      <w:r w:rsidR="006536D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6536D3">
        <w:rPr>
          <w:rFonts w:ascii="Arial" w:hAnsi="Arial" w:cs="Arial"/>
        </w:rPr>
        <w:t>die Gründer der Sowjetunion</w:t>
      </w:r>
      <w:r>
        <w:rPr>
          <w:rFonts w:ascii="Arial" w:hAnsi="Arial" w:cs="Arial"/>
        </w:rPr>
        <w:t xml:space="preserve">, so die </w:t>
      </w:r>
      <w:r w:rsidR="000E2878">
        <w:rPr>
          <w:rFonts w:ascii="Arial" w:hAnsi="Arial" w:cs="Arial"/>
        </w:rPr>
        <w:t>paradoxe</w:t>
      </w:r>
      <w:r w:rsidR="00DF20EA">
        <w:rPr>
          <w:rFonts w:ascii="Arial" w:hAnsi="Arial" w:cs="Arial"/>
        </w:rPr>
        <w:t xml:space="preserve">, letzte </w:t>
      </w:r>
      <w:r w:rsidR="00D62F6D">
        <w:rPr>
          <w:rFonts w:ascii="Arial" w:hAnsi="Arial" w:cs="Arial"/>
        </w:rPr>
        <w:t xml:space="preserve">Wendung </w:t>
      </w:r>
      <w:r w:rsidR="006536D3">
        <w:rPr>
          <w:rFonts w:ascii="Arial" w:hAnsi="Arial" w:cs="Arial"/>
        </w:rPr>
        <w:t>des Buches</w:t>
      </w:r>
      <w:r w:rsidR="000E2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weil sie als eine multinationale, nicht zuletzt jüdisch geprägte </w:t>
      </w:r>
      <w:r w:rsidR="000E2878">
        <w:rPr>
          <w:rFonts w:ascii="Arial" w:hAnsi="Arial" w:cs="Arial"/>
        </w:rPr>
        <w:t xml:space="preserve">Sekte trotz </w:t>
      </w:r>
      <w:r w:rsidR="000E2878">
        <w:rPr>
          <w:rFonts w:ascii="Arial" w:hAnsi="Arial" w:cs="Arial"/>
        </w:rPr>
        <w:lastRenderedPageBreak/>
        <w:t xml:space="preserve">aller exzessiven terroristischen Gewalt und intensiven ideologischen Anstrengungen nicht fähig waren, ihren Geist und ihre Gebote ihren </w:t>
      </w:r>
      <w:r w:rsidR="00D62F6D">
        <w:rPr>
          <w:rFonts w:ascii="Arial" w:hAnsi="Arial" w:cs="Arial"/>
        </w:rPr>
        <w:t xml:space="preserve">von </w:t>
      </w:r>
      <w:r w:rsidR="006536D3">
        <w:rPr>
          <w:rFonts w:ascii="Arial" w:hAnsi="Arial" w:cs="Arial"/>
        </w:rPr>
        <w:t>der russischen Orthodoxie geprägten</w:t>
      </w:r>
      <w:r w:rsidR="000E2878">
        <w:rPr>
          <w:rFonts w:ascii="Arial" w:hAnsi="Arial" w:cs="Arial"/>
        </w:rPr>
        <w:t xml:space="preserve"> Subjekten tiefer ein</w:t>
      </w:r>
      <w:r w:rsidR="006536D3">
        <w:rPr>
          <w:rFonts w:ascii="Arial" w:hAnsi="Arial" w:cs="Arial"/>
        </w:rPr>
        <w:t>zupflanzen. „Das Problem des Bolschewismus bestand darin, dass er nicht totalitär genug war“ –</w:t>
      </w:r>
      <w:r w:rsidR="004504BD">
        <w:rPr>
          <w:rFonts w:ascii="Arial" w:hAnsi="Arial" w:cs="Arial"/>
        </w:rPr>
        <w:t xml:space="preserve"> </w:t>
      </w:r>
      <w:r w:rsidR="006536D3">
        <w:rPr>
          <w:rFonts w:ascii="Arial" w:hAnsi="Arial" w:cs="Arial"/>
        </w:rPr>
        <w:t xml:space="preserve">indem er </w:t>
      </w:r>
      <w:r w:rsidR="00D30EE2">
        <w:rPr>
          <w:rFonts w:ascii="Arial" w:hAnsi="Arial" w:cs="Arial"/>
        </w:rPr>
        <w:t xml:space="preserve">die </w:t>
      </w:r>
      <w:r w:rsidR="006536D3">
        <w:rPr>
          <w:rFonts w:ascii="Arial" w:hAnsi="Arial" w:cs="Arial"/>
        </w:rPr>
        <w:t xml:space="preserve">eigenen Kinder Tolstoi oder Dumas statt Marx, Lenin und Stalin lesen ließ; und indem er es auch nach dem Großen Vaterländischen Krieg nicht verstand, </w:t>
      </w:r>
      <w:r w:rsidR="006536D3">
        <w:rPr>
          <w:rFonts w:ascii="Arial" w:hAnsi="Arial" w:cs="Arial"/>
        </w:rPr>
        <w:t>anders als die erfolgreichen Kommunisten China</w:t>
      </w:r>
      <w:r w:rsidR="00DF20EA">
        <w:rPr>
          <w:rFonts w:ascii="Arial" w:hAnsi="Arial" w:cs="Arial"/>
        </w:rPr>
        <w:t>s</w:t>
      </w:r>
      <w:r w:rsidR="006536D3">
        <w:rPr>
          <w:rFonts w:ascii="Arial" w:hAnsi="Arial" w:cs="Arial"/>
        </w:rPr>
        <w:t>, Vietnam</w:t>
      </w:r>
      <w:r w:rsidR="00DF20EA">
        <w:rPr>
          <w:rFonts w:ascii="Arial" w:hAnsi="Arial" w:cs="Arial"/>
        </w:rPr>
        <w:t>s</w:t>
      </w:r>
      <w:r w:rsidR="006536D3">
        <w:rPr>
          <w:rFonts w:ascii="Arial" w:hAnsi="Arial" w:cs="Arial"/>
        </w:rPr>
        <w:t xml:space="preserve"> oder Korea</w:t>
      </w:r>
      <w:r w:rsidR="00DF20EA">
        <w:rPr>
          <w:rFonts w:ascii="Arial" w:hAnsi="Arial" w:cs="Arial"/>
        </w:rPr>
        <w:t>s</w:t>
      </w:r>
      <w:r w:rsidR="006536D3">
        <w:rPr>
          <w:rFonts w:ascii="Arial" w:hAnsi="Arial" w:cs="Arial"/>
        </w:rPr>
        <w:t>, „primär nativistisch“, sprich: national zu werden.</w:t>
      </w:r>
    </w:p>
    <w:p w:rsidR="0013090A" w:rsidRDefault="004504BD" w:rsidP="00B81968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So i</w:t>
      </w:r>
      <w:r w:rsidR="00D62F6D">
        <w:rPr>
          <w:rFonts w:ascii="Arial" w:hAnsi="Arial" w:cs="Arial"/>
        </w:rPr>
        <w:t xml:space="preserve">rritierend diese letzten Auskünfte des Buches klingen – sie ändern nichts an der epischen Spannung und dem weiten Atem dieser </w:t>
      </w:r>
      <w:r w:rsidR="005A0177">
        <w:rPr>
          <w:rFonts w:ascii="Arial" w:hAnsi="Arial" w:cs="Arial"/>
        </w:rPr>
        <w:t xml:space="preserve">bewegenden Erzählung, die einiges Licht ins </w:t>
      </w:r>
      <w:r>
        <w:rPr>
          <w:rFonts w:ascii="Arial" w:hAnsi="Arial" w:cs="Arial"/>
        </w:rPr>
        <w:t xml:space="preserve">dunkle Geheimnis </w:t>
      </w:r>
      <w:r w:rsidR="005A0177">
        <w:rPr>
          <w:rFonts w:ascii="Arial" w:hAnsi="Arial" w:cs="Arial"/>
        </w:rPr>
        <w:t xml:space="preserve">dieses Landes und seiner </w:t>
      </w:r>
      <w:r>
        <w:rPr>
          <w:rFonts w:ascii="Arial" w:hAnsi="Arial" w:cs="Arial"/>
        </w:rPr>
        <w:t xml:space="preserve">unbewältigten </w:t>
      </w:r>
      <w:bookmarkStart w:id="0" w:name="_GoBack"/>
      <w:bookmarkEnd w:id="0"/>
      <w:r w:rsidR="005A0177">
        <w:rPr>
          <w:rFonts w:ascii="Arial" w:hAnsi="Arial" w:cs="Arial"/>
        </w:rPr>
        <w:t>Geschichte wirft.</w:t>
      </w:r>
    </w:p>
    <w:p w:rsidR="006536D3" w:rsidRDefault="006536D3" w:rsidP="00B81968">
      <w:pPr>
        <w:spacing w:before="120" w:line="360" w:lineRule="auto"/>
        <w:rPr>
          <w:rFonts w:ascii="Arial" w:hAnsi="Arial" w:cs="Arial"/>
        </w:rPr>
      </w:pPr>
    </w:p>
    <w:p w:rsidR="006536D3" w:rsidRDefault="006536D3" w:rsidP="00B81968">
      <w:pPr>
        <w:spacing w:before="120" w:line="360" w:lineRule="auto"/>
        <w:rPr>
          <w:rFonts w:ascii="Arial" w:hAnsi="Arial" w:cs="Arial"/>
        </w:rPr>
      </w:pPr>
    </w:p>
    <w:p w:rsidR="00AC03C9" w:rsidRDefault="00AC03C9" w:rsidP="00B81968">
      <w:pPr>
        <w:spacing w:before="120" w:line="360" w:lineRule="auto"/>
        <w:rPr>
          <w:rFonts w:ascii="Arial" w:hAnsi="Arial" w:cs="Arial"/>
        </w:rPr>
      </w:pPr>
    </w:p>
    <w:p w:rsidR="00AC03C9" w:rsidRDefault="00AC03C9" w:rsidP="00B81968">
      <w:pPr>
        <w:spacing w:before="120" w:line="360" w:lineRule="auto"/>
        <w:rPr>
          <w:rFonts w:ascii="Arial" w:hAnsi="Arial" w:cs="Arial"/>
        </w:rPr>
      </w:pPr>
    </w:p>
    <w:p w:rsidR="00AC03C9" w:rsidRDefault="00AC03C9" w:rsidP="00B81968">
      <w:pPr>
        <w:spacing w:before="120" w:line="360" w:lineRule="auto"/>
        <w:rPr>
          <w:rFonts w:ascii="Arial" w:hAnsi="Arial" w:cs="Arial"/>
        </w:rPr>
      </w:pPr>
    </w:p>
    <w:p w:rsidR="00AC03C9" w:rsidRDefault="00AC03C9" w:rsidP="00B81968">
      <w:pPr>
        <w:spacing w:before="120" w:line="360" w:lineRule="auto"/>
        <w:rPr>
          <w:rFonts w:ascii="Arial" w:hAnsi="Arial" w:cs="Arial"/>
        </w:rPr>
      </w:pPr>
    </w:p>
    <w:p w:rsidR="00B81968" w:rsidRPr="00FC2ADF" w:rsidRDefault="00B81968" w:rsidP="00FC2ADF">
      <w:pPr>
        <w:spacing w:before="120"/>
        <w:rPr>
          <w:rFonts w:ascii="Arial" w:hAnsi="Arial" w:cs="Arial"/>
        </w:rPr>
      </w:pPr>
    </w:p>
    <w:sectPr w:rsidR="00B81968" w:rsidRPr="00FC2ADF" w:rsidSect="003421D5">
      <w:headerReference w:type="even" r:id="rId6"/>
      <w:headerReference w:type="default" r:id="rId7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74" w:rsidRDefault="00970C74" w:rsidP="00B80EF9">
      <w:r>
        <w:separator/>
      </w:r>
    </w:p>
  </w:endnote>
  <w:endnote w:type="continuationSeparator" w:id="0">
    <w:p w:rsidR="00970C74" w:rsidRDefault="00970C74" w:rsidP="00B8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74" w:rsidRDefault="00970C74" w:rsidP="00B80EF9">
      <w:r>
        <w:separator/>
      </w:r>
    </w:p>
  </w:footnote>
  <w:footnote w:type="continuationSeparator" w:id="0">
    <w:p w:rsidR="00970C74" w:rsidRDefault="00970C74" w:rsidP="00B8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967664089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421D5" w:rsidRDefault="003421D5" w:rsidP="0029502F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3421D5" w:rsidRDefault="003421D5" w:rsidP="003421D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70373969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421D5" w:rsidRDefault="003421D5" w:rsidP="0029502F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6764BD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3421D5" w:rsidRDefault="003421D5" w:rsidP="003421D5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8"/>
  <w:activeWritingStyle w:appName="MSWord" w:lang="de-DE" w:vendorID="64" w:dllVersion="4096" w:nlCheck="1" w:checkStyle="0"/>
  <w:defaultTabStop w:val="708"/>
  <w:autoHyphenation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DF"/>
    <w:rsid w:val="000474FF"/>
    <w:rsid w:val="00047F9C"/>
    <w:rsid w:val="00090B99"/>
    <w:rsid w:val="000E2878"/>
    <w:rsid w:val="00114DA2"/>
    <w:rsid w:val="0012478F"/>
    <w:rsid w:val="00127303"/>
    <w:rsid w:val="0013090A"/>
    <w:rsid w:val="00185F90"/>
    <w:rsid w:val="00195049"/>
    <w:rsid w:val="001A265A"/>
    <w:rsid w:val="001B3557"/>
    <w:rsid w:val="001E0A95"/>
    <w:rsid w:val="002072D5"/>
    <w:rsid w:val="002303E6"/>
    <w:rsid w:val="00242767"/>
    <w:rsid w:val="00274631"/>
    <w:rsid w:val="002908CF"/>
    <w:rsid w:val="002A626F"/>
    <w:rsid w:val="002B21CA"/>
    <w:rsid w:val="002B25B0"/>
    <w:rsid w:val="002B56B0"/>
    <w:rsid w:val="00312E1C"/>
    <w:rsid w:val="00331A7F"/>
    <w:rsid w:val="003421D5"/>
    <w:rsid w:val="00346AC2"/>
    <w:rsid w:val="00367B92"/>
    <w:rsid w:val="00382346"/>
    <w:rsid w:val="00392944"/>
    <w:rsid w:val="003975B4"/>
    <w:rsid w:val="00406B17"/>
    <w:rsid w:val="00430340"/>
    <w:rsid w:val="00435D6F"/>
    <w:rsid w:val="0044015E"/>
    <w:rsid w:val="004504BD"/>
    <w:rsid w:val="00475E10"/>
    <w:rsid w:val="00493B5B"/>
    <w:rsid w:val="00497981"/>
    <w:rsid w:val="004B18CA"/>
    <w:rsid w:val="004B394B"/>
    <w:rsid w:val="004F61ED"/>
    <w:rsid w:val="00500F79"/>
    <w:rsid w:val="00510F3D"/>
    <w:rsid w:val="00595654"/>
    <w:rsid w:val="005A0177"/>
    <w:rsid w:val="005D3194"/>
    <w:rsid w:val="005D3EF2"/>
    <w:rsid w:val="005E54A4"/>
    <w:rsid w:val="00621CCF"/>
    <w:rsid w:val="00647489"/>
    <w:rsid w:val="006536D3"/>
    <w:rsid w:val="00662EA9"/>
    <w:rsid w:val="006764BD"/>
    <w:rsid w:val="006A5EC1"/>
    <w:rsid w:val="006F6E09"/>
    <w:rsid w:val="00736A03"/>
    <w:rsid w:val="007C16C1"/>
    <w:rsid w:val="008224E0"/>
    <w:rsid w:val="00831420"/>
    <w:rsid w:val="008B4657"/>
    <w:rsid w:val="008C2A92"/>
    <w:rsid w:val="008C69D1"/>
    <w:rsid w:val="008F57FC"/>
    <w:rsid w:val="0090490C"/>
    <w:rsid w:val="00927C79"/>
    <w:rsid w:val="00964547"/>
    <w:rsid w:val="00970C74"/>
    <w:rsid w:val="0097239B"/>
    <w:rsid w:val="009950F6"/>
    <w:rsid w:val="009A0F84"/>
    <w:rsid w:val="009B0741"/>
    <w:rsid w:val="009B6F31"/>
    <w:rsid w:val="009C65E9"/>
    <w:rsid w:val="009D79D9"/>
    <w:rsid w:val="009E201F"/>
    <w:rsid w:val="00A51516"/>
    <w:rsid w:val="00A723E6"/>
    <w:rsid w:val="00A7414D"/>
    <w:rsid w:val="00AA4F84"/>
    <w:rsid w:val="00AB3D47"/>
    <w:rsid w:val="00AC03C9"/>
    <w:rsid w:val="00AD4B1D"/>
    <w:rsid w:val="00B558C7"/>
    <w:rsid w:val="00B56C23"/>
    <w:rsid w:val="00B70C83"/>
    <w:rsid w:val="00B80EF9"/>
    <w:rsid w:val="00B81968"/>
    <w:rsid w:val="00BA7F88"/>
    <w:rsid w:val="00BC3AD9"/>
    <w:rsid w:val="00C073D4"/>
    <w:rsid w:val="00C1192E"/>
    <w:rsid w:val="00C5201A"/>
    <w:rsid w:val="00C7586C"/>
    <w:rsid w:val="00CC179A"/>
    <w:rsid w:val="00CC3AE1"/>
    <w:rsid w:val="00CC7B7D"/>
    <w:rsid w:val="00CF6363"/>
    <w:rsid w:val="00D032E5"/>
    <w:rsid w:val="00D12CD2"/>
    <w:rsid w:val="00D133C6"/>
    <w:rsid w:val="00D302BD"/>
    <w:rsid w:val="00D30EE2"/>
    <w:rsid w:val="00D62F6D"/>
    <w:rsid w:val="00D97DF7"/>
    <w:rsid w:val="00DA6756"/>
    <w:rsid w:val="00DB10C2"/>
    <w:rsid w:val="00DC6749"/>
    <w:rsid w:val="00DF20EA"/>
    <w:rsid w:val="00E017F2"/>
    <w:rsid w:val="00E03FCC"/>
    <w:rsid w:val="00E54126"/>
    <w:rsid w:val="00ED6B05"/>
    <w:rsid w:val="00F027A5"/>
    <w:rsid w:val="00F03A0E"/>
    <w:rsid w:val="00F31DA5"/>
    <w:rsid w:val="00F5405E"/>
    <w:rsid w:val="00F700CF"/>
    <w:rsid w:val="00F70FE1"/>
    <w:rsid w:val="00F74006"/>
    <w:rsid w:val="00FC2ADF"/>
    <w:rsid w:val="00FC3EAA"/>
    <w:rsid w:val="00FF0443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68A6"/>
  <w15:chartTrackingRefBased/>
  <w15:docId w15:val="{C4B74598-A882-E14F-A434-857D6D1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19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80EF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80E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80EF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1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18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18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18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18C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8C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8CA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421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21D5"/>
  </w:style>
  <w:style w:type="character" w:styleId="Seitenzahl">
    <w:name w:val="page number"/>
    <w:basedOn w:val="Absatz-Standardschriftart"/>
    <w:uiPriority w:val="99"/>
    <w:semiHidden/>
    <w:unhideWhenUsed/>
    <w:rsid w:val="003421D5"/>
  </w:style>
  <w:style w:type="character" w:customStyle="1" w:styleId="berschrift1Zchn">
    <w:name w:val="Überschrift 1 Zchn"/>
    <w:basedOn w:val="Absatz-Standardschriftart"/>
    <w:link w:val="berschrift1"/>
    <w:uiPriority w:val="9"/>
    <w:rsid w:val="00B81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819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dnotentext">
    <w:name w:val="endnote text"/>
    <w:basedOn w:val="Standard"/>
    <w:link w:val="EndnotentextZchn"/>
    <w:rsid w:val="00F70F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rsid w:val="00F70FE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rsid w:val="00F70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9264</Characters>
  <Application>Microsoft Office Word</Application>
  <DocSecurity>0</DocSecurity>
  <Lines>147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Koenen</dc:creator>
  <cp:keywords/>
  <dc:description/>
  <cp:lastModifiedBy>Gerd Koenen</cp:lastModifiedBy>
  <cp:revision>11</cp:revision>
  <dcterms:created xsi:type="dcterms:W3CDTF">2018-09-17T07:33:00Z</dcterms:created>
  <dcterms:modified xsi:type="dcterms:W3CDTF">2018-09-18T11:57:00Z</dcterms:modified>
</cp:coreProperties>
</file>